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3057525</wp:posOffset>
            </wp:positionH>
            <wp:positionV relativeFrom="page">
              <wp:posOffset>85725</wp:posOffset>
            </wp:positionV>
            <wp:extent cx="1657350" cy="13811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57350" cy="1381125"/>
                    </a:xfrm>
                    <a:prstGeom prst="rect">
                      <a:avLst/>
                    </a:prstGeom>
                    <a:noFill/>
                  </pic:spPr>
                </pic:pic>
              </a:graphicData>
            </a:graphic>
          </wp:anchor>
        </w:drawing>
        <w:drawing>
          <wp:anchor simplePos="0" relativeHeight="251657728" behindDoc="1" locked="0" layoutInCell="0" allowOverlap="1">
            <wp:simplePos x="0" y="0"/>
            <wp:positionH relativeFrom="page">
              <wp:posOffset>952500</wp:posOffset>
            </wp:positionH>
            <wp:positionV relativeFrom="page">
              <wp:posOffset>1695450</wp:posOffset>
            </wp:positionV>
            <wp:extent cx="58674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867400"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spacing w:after="0"/>
        <w:rPr>
          <w:sz w:val="20"/>
          <w:szCs w:val="20"/>
          <w:color w:val="auto"/>
        </w:rPr>
      </w:pPr>
      <w:r>
        <w:rPr>
          <w:rFonts w:ascii="Arial" w:cs="Arial" w:eastAsia="Arial" w:hAnsi="Arial"/>
          <w:sz w:val="40"/>
          <w:szCs w:val="40"/>
          <w:color w:val="auto"/>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Cátedra:</w:t>
      </w:r>
      <w:r>
        <w:rPr>
          <w:rFonts w:ascii="Gautami" w:cs="Gautami" w:eastAsia="Gautami" w:hAnsi="Gautami"/>
          <w:sz w:val="32"/>
          <w:szCs w:val="32"/>
          <w:b w:val="1"/>
          <w:bCs w:val="1"/>
          <w:color w:val="auto"/>
        </w:rPr>
        <w:t>​​</w:t>
      </w:r>
      <w:r>
        <w:rPr>
          <w:rFonts w:ascii="Arial" w:cs="Arial" w:eastAsia="Arial" w:hAnsi="Arial"/>
          <w:sz w:val="32"/>
          <w:szCs w:val="32"/>
          <w:color w:val="auto"/>
        </w:rPr>
        <w:t>Alejandro Prince</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Ayudantes:</w:t>
      </w:r>
      <w:r>
        <w:rPr>
          <w:rFonts w:ascii="Gautami" w:cs="Gautami" w:eastAsia="Gautami" w:hAnsi="Gautami"/>
          <w:sz w:val="32"/>
          <w:szCs w:val="32"/>
          <w:b w:val="1"/>
          <w:bCs w:val="1"/>
          <w:color w:val="auto"/>
        </w:rPr>
        <w:t>​​</w:t>
      </w:r>
      <w:r>
        <w:rPr>
          <w:rFonts w:ascii="Arial" w:cs="Arial" w:eastAsia="Arial" w:hAnsi="Arial"/>
          <w:sz w:val="32"/>
          <w:szCs w:val="32"/>
          <w:color w:val="auto"/>
        </w:rPr>
        <w:t>Hernán Borré, Maximiliano Bracho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Trabajo Práctico:</w:t>
      </w:r>
      <w:r>
        <w:rPr>
          <w:rFonts w:ascii="Gautami" w:cs="Gautami" w:eastAsia="Gautami" w:hAnsi="Gautami"/>
          <w:sz w:val="32"/>
          <w:szCs w:val="32"/>
          <w:b w:val="1"/>
          <w:bCs w:val="1"/>
          <w:color w:val="auto"/>
        </w:rPr>
        <w:t>​</w:t>
      </w:r>
      <w:r>
        <w:rPr>
          <w:rFonts w:ascii="Arial" w:cs="Arial" w:eastAsia="Arial" w:hAnsi="Arial"/>
          <w:sz w:val="32"/>
          <w:szCs w:val="32"/>
          <w:color w:val="auto"/>
        </w:rPr>
        <w:t>TP N° 5 – La sociedad de costo marginal cero</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Año:</w:t>
      </w:r>
      <w:r>
        <w:rPr>
          <w:rFonts w:ascii="Gautami" w:cs="Gautami" w:eastAsia="Gautami" w:hAnsi="Gautami"/>
          <w:sz w:val="32"/>
          <w:szCs w:val="32"/>
          <w:b w:val="1"/>
          <w:bCs w:val="1"/>
          <w:color w:val="auto"/>
        </w:rPr>
        <w:t>​</w:t>
      </w:r>
      <w:r>
        <w:rPr>
          <w:rFonts w:ascii="Arial" w:cs="Arial" w:eastAsia="Arial" w:hAnsi="Arial"/>
          <w:sz w:val="32"/>
          <w:szCs w:val="32"/>
          <w:color w:val="auto"/>
        </w:rPr>
        <w:t>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tbl>
      <w:tblPr>
        <w:tblLayout w:type="fixed"/>
        <w:tblInd w:w="30" w:type="dxa"/>
        <w:tblCellMar>
          <w:top w:w="0" w:type="dxa"/>
          <w:left w:w="0" w:type="dxa"/>
          <w:bottom w:w="0" w:type="dxa"/>
          <w:right w:w="0" w:type="dxa"/>
        </w:tblCellMar>
      </w:tblPr>
      <w:tr>
        <w:trPr>
          <w:trHeight w:val="298"/>
        </w:trPr>
        <w:tc>
          <w:tcPr>
            <w:tcW w:w="3140" w:type="dxa"/>
            <w:vAlign w:val="bottom"/>
            <w:tcBorders>
              <w:top w:val="single" w:sz="8" w:color="auto"/>
              <w:left w:val="single" w:sz="8" w:color="auto"/>
              <w:right w:val="single" w:sz="8" w:color="595959"/>
            </w:tcBorders>
            <w:shd w:val="clear" w:color="auto" w:fill="595959"/>
          </w:tcPr>
          <w:p>
            <w:pPr>
              <w:spacing w:after="0"/>
              <w:rPr>
                <w:sz w:val="24"/>
                <w:szCs w:val="24"/>
                <w:color w:val="auto"/>
              </w:rPr>
            </w:pPr>
          </w:p>
        </w:tc>
        <w:tc>
          <w:tcPr>
            <w:tcW w:w="5440" w:type="dxa"/>
            <w:vAlign w:val="bottom"/>
            <w:tcBorders>
              <w:top w:val="single" w:sz="8" w:color="auto"/>
              <w:right w:val="single" w:sz="8" w:color="auto"/>
            </w:tcBorders>
            <w:shd w:val="clear" w:color="auto" w:fill="595959"/>
          </w:tcPr>
          <w:p>
            <w:pPr>
              <w:ind w:left="780"/>
              <w:spacing w:after="0"/>
              <w:rPr>
                <w:sz w:val="20"/>
                <w:szCs w:val="20"/>
                <w:color w:val="auto"/>
              </w:rPr>
            </w:pPr>
            <w:r>
              <w:rPr>
                <w:rFonts w:ascii="Arial" w:cs="Arial" w:eastAsia="Arial" w:hAnsi="Arial"/>
                <w:sz w:val="20"/>
                <w:szCs w:val="20"/>
                <w:b w:val="1"/>
                <w:bCs w:val="1"/>
                <w:color w:val="FFFFFF"/>
              </w:rPr>
              <w:t>Alumna</w:t>
            </w:r>
          </w:p>
        </w:tc>
      </w:tr>
      <w:tr>
        <w:trPr>
          <w:trHeight w:val="62"/>
        </w:trPr>
        <w:tc>
          <w:tcPr>
            <w:tcW w:w="3140" w:type="dxa"/>
            <w:vAlign w:val="bottom"/>
            <w:tcBorders>
              <w:left w:val="single" w:sz="8" w:color="auto"/>
              <w:bottom w:val="single" w:sz="8" w:color="auto"/>
              <w:right w:val="single" w:sz="8" w:color="595959"/>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78"/>
        </w:trPr>
        <w:tc>
          <w:tcPr>
            <w:tcW w:w="3140" w:type="dxa"/>
            <w:vAlign w:val="bottom"/>
            <w:tcBorders>
              <w:left w:val="single" w:sz="8" w:color="auto"/>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9"/>
              </w:rPr>
              <w:t>NOMBRE Y APELLIDO</w:t>
            </w:r>
          </w:p>
        </w:tc>
        <w:tc>
          <w:tcPr>
            <w:tcW w:w="5440" w:type="dxa"/>
            <w:vAlign w:val="bottom"/>
            <w:tcBorders>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8"/>
              </w:rPr>
              <w:t>LEGAJO Nº</w:t>
            </w:r>
          </w:p>
        </w:tc>
      </w:tr>
      <w:tr>
        <w:trPr>
          <w:trHeight w:val="62"/>
        </w:trPr>
        <w:tc>
          <w:tcPr>
            <w:tcW w:w="3140" w:type="dxa"/>
            <w:vAlign w:val="bottom"/>
            <w:tcBorders>
              <w:left w:val="single" w:sz="8" w:color="auto"/>
              <w:bottom w:val="single" w:sz="8" w:color="auto"/>
              <w:right w:val="single" w:sz="8" w:color="auto"/>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66"/>
        </w:trPr>
        <w:tc>
          <w:tcPr>
            <w:tcW w:w="31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9"/>
              </w:rPr>
              <w:t>Melanie Blejter</w:t>
            </w:r>
          </w:p>
        </w:tc>
        <w:tc>
          <w:tcPr>
            <w:tcW w:w="5440" w:type="dxa"/>
            <w:vAlign w:val="bottom"/>
            <w:tcBorders>
              <w:right w:val="single" w:sz="8" w:color="auto"/>
            </w:tcBorders>
          </w:tcPr>
          <w:p>
            <w:pPr>
              <w:jc w:val="right"/>
              <w:ind w:right="2200"/>
              <w:spacing w:after="0"/>
              <w:rPr>
                <w:sz w:val="20"/>
                <w:szCs w:val="20"/>
                <w:color w:val="auto"/>
              </w:rPr>
            </w:pPr>
            <w:r>
              <w:rPr>
                <w:rFonts w:ascii="Arial" w:cs="Arial" w:eastAsia="Arial" w:hAnsi="Arial"/>
                <w:sz w:val="20"/>
                <w:szCs w:val="20"/>
                <w:color w:val="auto"/>
              </w:rPr>
              <w:t>145.697-0</w:t>
            </w:r>
          </w:p>
        </w:tc>
      </w:tr>
      <w:tr>
        <w:trPr>
          <w:trHeight w:val="74"/>
        </w:trPr>
        <w:tc>
          <w:tcPr>
            <w:tcW w:w="3140" w:type="dxa"/>
            <w:vAlign w:val="bottom"/>
            <w:tcBorders>
              <w:left w:val="single" w:sz="8" w:color="auto"/>
              <w:bottom w:val="single" w:sz="8" w:color="auto"/>
              <w:right w:val="single" w:sz="8" w:color="auto"/>
            </w:tcBorders>
          </w:tcPr>
          <w:p>
            <w:pPr>
              <w:spacing w:after="0"/>
              <w:rPr>
                <w:sz w:val="6"/>
                <w:szCs w:val="6"/>
                <w:color w:val="auto"/>
              </w:rPr>
            </w:pPr>
          </w:p>
        </w:tc>
        <w:tc>
          <w:tcPr>
            <w:tcW w:w="54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jc w:val="right"/>
        <w:spacing w:after="0"/>
        <w:rPr>
          <w:sz w:val="20"/>
          <w:szCs w:val="20"/>
          <w:color w:val="auto"/>
        </w:rPr>
      </w:pPr>
      <w:r>
        <w:rPr>
          <w:rFonts w:ascii="Arial" w:cs="Arial" w:eastAsia="Arial" w:hAnsi="Arial"/>
          <w:sz w:val="24"/>
          <w:szCs w:val="24"/>
          <w:b w:val="1"/>
          <w:bCs w:val="1"/>
          <w:i w:val="1"/>
          <w:iCs w:val="1"/>
          <w:color w:val="auto"/>
        </w:rPr>
        <w:t>1</w:t>
      </w:r>
    </w:p>
    <w:p>
      <w:pPr>
        <w:sectPr>
          <w:pgSz w:w="12240" w:h="15840" w:orient="portrait"/>
          <w:cols w:equalWidth="0" w:num="1">
            <w:col w:w="9360"/>
          </w:cols>
          <w:pgMar w:left="1440" w:top="1440" w:right="1440" w:bottom="515" w:gutter="0" w:footer="0" w:header="0"/>
        </w:sectPr>
      </w:pPr>
    </w:p>
    <w:bookmarkStart w:id="1" w:name="page2"/>
    <w:bookmarkEnd w:id="1"/>
    <w:tbl>
      <w:tblPr>
        <w:tblLayout w:type="fixed"/>
        <w:tblInd w:w="100" w:type="dxa"/>
        <w:tblCellMar>
          <w:top w:w="0" w:type="dxa"/>
          <w:left w:w="0" w:type="dxa"/>
          <w:bottom w:w="0" w:type="dxa"/>
          <w:right w:w="0" w:type="dxa"/>
        </w:tblCellMar>
      </w:tblPr>
      <w:tr>
        <w:trPr>
          <w:trHeight w:val="246"/>
        </w:trPr>
        <w:tc>
          <w:tcPr>
            <w:tcW w:w="2300" w:type="dxa"/>
            <w:vAlign w:val="bottom"/>
          </w:tcPr>
          <w:p>
            <w:pPr>
              <w:spacing w:after="0"/>
              <w:rPr>
                <w:sz w:val="20"/>
                <w:szCs w:val="20"/>
                <w:color w:val="auto"/>
              </w:rPr>
            </w:pPr>
            <w:r>
              <w:rPr>
                <w:rFonts w:ascii="Arial" w:cs="Arial" w:eastAsia="Arial" w:hAnsi="Arial"/>
                <w:sz w:val="20"/>
                <w:szCs w:val="20"/>
                <w:color w:val="auto"/>
              </w:rPr>
              <w:t>Melanie Blejter</w:t>
            </w:r>
          </w:p>
        </w:tc>
        <w:tc>
          <w:tcPr>
            <w:tcW w:w="3580" w:type="dxa"/>
            <w:vAlign w:val="bottom"/>
          </w:tcPr>
          <w:p>
            <w:pPr>
              <w:jc w:val="center"/>
              <w:ind w:left="880"/>
              <w:spacing w:after="0"/>
              <w:rPr>
                <w:sz w:val="20"/>
                <w:szCs w:val="20"/>
                <w:color w:val="auto"/>
              </w:rPr>
            </w:pPr>
            <w:r>
              <w:rPr>
                <w:rFonts w:ascii="Verdana" w:cs="Verdana" w:eastAsia="Verdana" w:hAnsi="Verdana"/>
                <w:sz w:val="20"/>
                <w:szCs w:val="20"/>
                <w:color w:val="auto"/>
              </w:rPr>
              <w:t>TP N° 5 –  La sociedad de</w:t>
            </w:r>
          </w:p>
        </w:tc>
      </w:tr>
      <w:tr>
        <w:trPr>
          <w:trHeight w:val="295"/>
        </w:trPr>
        <w:tc>
          <w:tcPr>
            <w:tcW w:w="2300" w:type="dxa"/>
            <w:vAlign w:val="bottom"/>
          </w:tcPr>
          <w:p>
            <w:pPr>
              <w:spacing w:after="0"/>
              <w:rPr>
                <w:sz w:val="20"/>
                <w:szCs w:val="20"/>
                <w:color w:val="auto"/>
              </w:rPr>
            </w:pPr>
            <w:r>
              <w:rPr>
                <w:rFonts w:ascii="Arial" w:cs="Arial" w:eastAsia="Arial" w:hAnsi="Arial"/>
                <w:sz w:val="20"/>
                <w:szCs w:val="20"/>
                <w:color w:val="auto"/>
              </w:rPr>
              <w:t>145.687-0</w:t>
            </w:r>
          </w:p>
        </w:tc>
        <w:tc>
          <w:tcPr>
            <w:tcW w:w="3580" w:type="dxa"/>
            <w:vAlign w:val="bottom"/>
          </w:tcPr>
          <w:p>
            <w:pPr>
              <w:jc w:val="center"/>
              <w:ind w:left="860"/>
              <w:spacing w:after="0" w:line="241" w:lineRule="exact"/>
              <w:rPr>
                <w:sz w:val="20"/>
                <w:szCs w:val="20"/>
                <w:color w:val="auto"/>
              </w:rPr>
            </w:pPr>
            <w:r>
              <w:rPr>
                <w:rFonts w:ascii="Verdana" w:cs="Verdana" w:eastAsia="Verdana" w:hAnsi="Verdana"/>
                <w:sz w:val="20"/>
                <w:szCs w:val="20"/>
                <w:color w:val="auto"/>
                <w:w w:val="99"/>
              </w:rPr>
              <w:t>costo marginal cero</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4972050</wp:posOffset>
            </wp:positionH>
            <wp:positionV relativeFrom="paragraph">
              <wp:posOffset>-316230</wp:posOffset>
            </wp:positionV>
            <wp:extent cx="885825" cy="3333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32"/>
          <w:szCs w:val="32"/>
          <w:color w:val="auto"/>
        </w:rPr>
        <w:t>Desarrollo</w:t>
      </w:r>
    </w:p>
    <w:p>
      <w:pPr>
        <w:spacing w:after="0" w:line="379" w:lineRule="exact"/>
        <w:rPr>
          <w:sz w:val="20"/>
          <w:szCs w:val="20"/>
          <w:color w:val="auto"/>
        </w:rPr>
      </w:pPr>
    </w:p>
    <w:p>
      <w:pPr>
        <w:ind w:right="160"/>
        <w:spacing w:after="0" w:line="315" w:lineRule="auto"/>
        <w:rPr>
          <w:sz w:val="20"/>
          <w:szCs w:val="20"/>
          <w:color w:val="auto"/>
        </w:rPr>
      </w:pPr>
      <w:r>
        <w:rPr>
          <w:rFonts w:ascii="Arial" w:cs="Arial" w:eastAsia="Arial" w:hAnsi="Arial"/>
          <w:sz w:val="28"/>
          <w:szCs w:val="28"/>
          <w:color w:val="434343"/>
        </w:rPr>
        <w:t>Pregunta 1: Puede describir el vínculo entre las leyes de la termodinámica de Newton y la “factura entrópica”.</w:t>
      </w:r>
    </w:p>
    <w:p>
      <w:pPr>
        <w:spacing w:after="0" w:line="2" w:lineRule="exact"/>
        <w:rPr>
          <w:sz w:val="20"/>
          <w:szCs w:val="20"/>
          <w:color w:val="auto"/>
        </w:rPr>
      </w:pPr>
    </w:p>
    <w:p>
      <w:pPr>
        <w:ind w:right="20"/>
        <w:spacing w:after="0" w:line="285" w:lineRule="auto"/>
        <w:rPr>
          <w:sz w:val="20"/>
          <w:szCs w:val="20"/>
          <w:color w:val="auto"/>
        </w:rPr>
      </w:pPr>
      <w:r>
        <w:rPr>
          <w:rFonts w:ascii="Arial" w:cs="Arial" w:eastAsia="Arial" w:hAnsi="Arial"/>
          <w:sz w:val="20"/>
          <w:szCs w:val="20"/>
          <w:color w:val="auto"/>
        </w:rPr>
        <w:t>El concepto de “factura entrópica” hace referencia a como la la energía que se incorpora en cualquier producto o proceso de desarrollo industrial para hacer “mover” la actividad económica a lo largo de la cadena de valor, tiene un impacto ecológico sobre el medio ambiente. Los ingenieros y los químicos señalan que, en relación con la actividad económica, nunca se produce un aumento neto de la energía, siempre que se produce una pérdida de la energía disponible en el proceso de transformar los recursos naturales en valor económico. Para producir algo, se tiene que consumir energía previamente. Esto entra dentro de la Primera Ley de la Termodinámica que establece que “la energía total en el universo es constante y la entropía total aumenta contínuamente”. En segundo lugar, la Segunda Ley de la Termodinámica establece que “La energía fluye de lo caliente a lo frío, de lo concentrado a lo disperso, del orden al caos”. Esto se ve reflejado en los caso de los procesos industriales no tienen reversibilidad, no se puede volver atrás productos a materias primas. Sin mencionar las emisiones de dióxido de carbono en la atmósfera a causa de la combustión de ingentes cantidades de combustibles fósiles que se dan en la producción industrial. Es importante tener en cuenta como afecta la industria ecológicamente al planeta porque puede traer efectos irreversibles al planeta.</w:t>
      </w:r>
    </w:p>
    <w:p>
      <w:pPr>
        <w:spacing w:after="0" w:line="264" w:lineRule="exact"/>
        <w:rPr>
          <w:sz w:val="20"/>
          <w:szCs w:val="20"/>
          <w:color w:val="auto"/>
        </w:rPr>
      </w:pPr>
    </w:p>
    <w:p>
      <w:pPr>
        <w:jc w:val="both"/>
        <w:ind w:right="160"/>
        <w:spacing w:after="0" w:line="311" w:lineRule="auto"/>
        <w:rPr>
          <w:sz w:val="20"/>
          <w:szCs w:val="20"/>
          <w:color w:val="auto"/>
        </w:rPr>
      </w:pPr>
      <w:r>
        <w:rPr>
          <w:rFonts w:ascii="Arial" w:cs="Arial" w:eastAsia="Arial" w:hAnsi="Arial"/>
          <w:sz w:val="28"/>
          <w:szCs w:val="28"/>
          <w:color w:val="434343"/>
        </w:rPr>
        <w:t>Pregunta 2: Podría caracterizar la Primera y Segunda revolución industrial al decir de Rifkin? Qué inventos son las metáforas de cada infraestructura en cada una de esas etapas.</w:t>
      </w:r>
    </w:p>
    <w:p>
      <w:pPr>
        <w:spacing w:after="0" w:line="1" w:lineRule="exact"/>
        <w:rPr>
          <w:sz w:val="20"/>
          <w:szCs w:val="20"/>
          <w:color w:val="auto"/>
        </w:rPr>
      </w:pPr>
    </w:p>
    <w:p>
      <w:pPr>
        <w:spacing w:after="0" w:line="287" w:lineRule="auto"/>
        <w:rPr>
          <w:sz w:val="20"/>
          <w:szCs w:val="20"/>
          <w:color w:val="auto"/>
        </w:rPr>
      </w:pPr>
      <w:r>
        <w:rPr>
          <w:rFonts w:ascii="Arial" w:cs="Arial" w:eastAsia="Arial" w:hAnsi="Arial"/>
          <w:sz w:val="20"/>
          <w:szCs w:val="20"/>
          <w:color w:val="auto"/>
        </w:rPr>
        <w:t>Rifkin estable que las dos revoluciones industriales dieron lugar a nuevas tecnologías nuevas y revolucionarias. Entre estas se puede mencionar la máquina de vapor, el ferrocarril y el telégrafo, por otro lado la máquina de combustión interna, los automóviles y las comunicaciones por ondas magnéticas. Estas innovaciones, promovieron el intercambio comercial y promovieron el beneficio social. Las plataformas tecnológicas de la primera y segunda revolución industrial estaban centralizadas y sometidas a un control jerarquizado y su explotación estaba basada en la idea de que los recursos de la Tierra están para el servicio de la personas y el lucro. Las tecnologías que caracterizaron la primera y segunda revolución industrial cambiaron la forma de producción de bienes y servicios, y fueron su gran impulsor, pero también estas revoluciones afectaron la forma de obtener la energía.</w:t>
      </w:r>
    </w:p>
    <w:p>
      <w:pPr>
        <w:spacing w:after="0" w:line="263" w:lineRule="exact"/>
        <w:rPr>
          <w:sz w:val="20"/>
          <w:szCs w:val="20"/>
          <w:color w:val="auto"/>
        </w:rPr>
      </w:pPr>
    </w:p>
    <w:p>
      <w:pPr>
        <w:ind w:right="80"/>
        <w:spacing w:after="0" w:line="321" w:lineRule="auto"/>
        <w:rPr>
          <w:sz w:val="20"/>
          <w:szCs w:val="20"/>
          <w:color w:val="auto"/>
        </w:rPr>
      </w:pPr>
      <w:r>
        <w:rPr>
          <w:rFonts w:ascii="Arial" w:cs="Arial" w:eastAsia="Arial" w:hAnsi="Arial"/>
          <w:sz w:val="28"/>
          <w:szCs w:val="28"/>
          <w:color w:val="434343"/>
        </w:rPr>
        <w:t>Pregunta 3: Qué dice Rifkin que la “internet de las cosas IOT” le aportará a la 3ra revolución industrial?</w:t>
      </w:r>
    </w:p>
    <w:p>
      <w:pPr>
        <w:spacing w:after="0" w:line="1" w:lineRule="exact"/>
        <w:rPr>
          <w:sz w:val="20"/>
          <w:szCs w:val="20"/>
          <w:color w:val="auto"/>
        </w:rPr>
      </w:pPr>
    </w:p>
    <w:p>
      <w:pPr>
        <w:spacing w:after="0" w:line="292" w:lineRule="auto"/>
        <w:rPr>
          <w:sz w:val="20"/>
          <w:szCs w:val="20"/>
          <w:color w:val="auto"/>
        </w:rPr>
      </w:pPr>
      <w:r>
        <w:rPr>
          <w:rFonts w:ascii="Arial" w:cs="Arial" w:eastAsia="Arial" w:hAnsi="Arial"/>
          <w:sz w:val="20"/>
          <w:szCs w:val="20"/>
          <w:color w:val="auto"/>
        </w:rPr>
        <w:t>Rifkin asegura que el Internet de las cosas ya está aumentando la productividad hasta el punto de que el coste marginal de producir muchos bienes y servicios es casi nulo, y esos bienes y servicios son prácticamente gratuitos. El resultado es que los beneficios empresariales se están empezando a evaporar, los derechos de propiedad pierden fuerza y la economía basada en la escasez deja paso a una economía de la abundancia.</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2</w:t>
      </w:r>
    </w:p>
    <w:p>
      <w:pPr>
        <w:sectPr>
          <w:pgSz w:w="12240" w:h="15840" w:orient="portrait"/>
          <w:cols w:equalWidth="0" w:num="1">
            <w:col w:w="9360"/>
          </w:cols>
          <w:pgMar w:left="1440" w:top="468" w:right="1440" w:bottom="515" w:gutter="0" w:footer="0" w:header="0"/>
        </w:sectPr>
      </w:pPr>
    </w:p>
    <w:bookmarkStart w:id="2" w:name="page3"/>
    <w:bookmarkEnd w:id="2"/>
    <w:tbl>
      <w:tblPr>
        <w:tblLayout w:type="fixed"/>
        <w:tblInd w:w="100" w:type="dxa"/>
        <w:tblCellMar>
          <w:top w:w="0" w:type="dxa"/>
          <w:left w:w="0" w:type="dxa"/>
          <w:bottom w:w="0" w:type="dxa"/>
          <w:right w:w="0" w:type="dxa"/>
        </w:tblCellMar>
      </w:tblPr>
      <w:tr>
        <w:trPr>
          <w:trHeight w:val="246"/>
        </w:trPr>
        <w:tc>
          <w:tcPr>
            <w:tcW w:w="2300" w:type="dxa"/>
            <w:vAlign w:val="bottom"/>
          </w:tcPr>
          <w:p>
            <w:pPr>
              <w:spacing w:after="0"/>
              <w:rPr>
                <w:sz w:val="20"/>
                <w:szCs w:val="20"/>
                <w:color w:val="auto"/>
              </w:rPr>
            </w:pPr>
            <w:r>
              <w:rPr>
                <w:rFonts w:ascii="Arial" w:cs="Arial" w:eastAsia="Arial" w:hAnsi="Arial"/>
                <w:sz w:val="20"/>
                <w:szCs w:val="20"/>
                <w:color w:val="auto"/>
              </w:rPr>
              <w:t>Melanie Blejter</w:t>
            </w:r>
          </w:p>
        </w:tc>
        <w:tc>
          <w:tcPr>
            <w:tcW w:w="3580" w:type="dxa"/>
            <w:vAlign w:val="bottom"/>
          </w:tcPr>
          <w:p>
            <w:pPr>
              <w:jc w:val="center"/>
              <w:ind w:left="880"/>
              <w:spacing w:after="0"/>
              <w:rPr>
                <w:sz w:val="20"/>
                <w:szCs w:val="20"/>
                <w:color w:val="auto"/>
              </w:rPr>
            </w:pPr>
            <w:r>
              <w:rPr>
                <w:rFonts w:ascii="Verdana" w:cs="Verdana" w:eastAsia="Verdana" w:hAnsi="Verdana"/>
                <w:sz w:val="20"/>
                <w:szCs w:val="20"/>
                <w:color w:val="auto"/>
              </w:rPr>
              <w:t>TP N° 5 –  La sociedad de</w:t>
            </w:r>
          </w:p>
        </w:tc>
      </w:tr>
      <w:tr>
        <w:trPr>
          <w:trHeight w:val="295"/>
        </w:trPr>
        <w:tc>
          <w:tcPr>
            <w:tcW w:w="2300" w:type="dxa"/>
            <w:vAlign w:val="bottom"/>
          </w:tcPr>
          <w:p>
            <w:pPr>
              <w:spacing w:after="0"/>
              <w:rPr>
                <w:sz w:val="20"/>
                <w:szCs w:val="20"/>
                <w:color w:val="auto"/>
              </w:rPr>
            </w:pPr>
            <w:r>
              <w:rPr>
                <w:rFonts w:ascii="Arial" w:cs="Arial" w:eastAsia="Arial" w:hAnsi="Arial"/>
                <w:sz w:val="20"/>
                <w:szCs w:val="20"/>
                <w:color w:val="auto"/>
              </w:rPr>
              <w:t>145.687-0</w:t>
            </w:r>
          </w:p>
        </w:tc>
        <w:tc>
          <w:tcPr>
            <w:tcW w:w="3580" w:type="dxa"/>
            <w:vAlign w:val="bottom"/>
          </w:tcPr>
          <w:p>
            <w:pPr>
              <w:jc w:val="center"/>
              <w:ind w:left="860"/>
              <w:spacing w:after="0" w:line="241" w:lineRule="exact"/>
              <w:rPr>
                <w:sz w:val="20"/>
                <w:szCs w:val="20"/>
                <w:color w:val="auto"/>
              </w:rPr>
            </w:pPr>
            <w:r>
              <w:rPr>
                <w:rFonts w:ascii="Verdana" w:cs="Verdana" w:eastAsia="Verdana" w:hAnsi="Verdana"/>
                <w:sz w:val="20"/>
                <w:szCs w:val="20"/>
                <w:color w:val="auto"/>
                <w:w w:val="99"/>
              </w:rPr>
              <w:t>costo marginal cero</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4972050</wp:posOffset>
            </wp:positionH>
            <wp:positionV relativeFrom="paragraph">
              <wp:posOffset>-316230</wp:posOffset>
            </wp:positionV>
            <wp:extent cx="885825" cy="3333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right="320"/>
        <w:spacing w:after="0" w:line="321" w:lineRule="auto"/>
        <w:rPr>
          <w:sz w:val="20"/>
          <w:szCs w:val="20"/>
          <w:color w:val="auto"/>
        </w:rPr>
      </w:pPr>
      <w:r>
        <w:rPr>
          <w:rFonts w:ascii="Arial" w:cs="Arial" w:eastAsia="Arial" w:hAnsi="Arial"/>
          <w:sz w:val="28"/>
          <w:szCs w:val="28"/>
          <w:color w:val="434343"/>
        </w:rPr>
        <w:t>Pregunta 4: Qué entiende Rifkin por una producción abierta, distribuida y colaborativa?</w:t>
      </w:r>
    </w:p>
    <w:p>
      <w:pPr>
        <w:spacing w:after="0" w:line="1" w:lineRule="exact"/>
        <w:rPr>
          <w:sz w:val="20"/>
          <w:szCs w:val="20"/>
          <w:color w:val="auto"/>
        </w:rPr>
      </w:pPr>
    </w:p>
    <w:p>
      <w:pPr>
        <w:ind w:right="20"/>
        <w:spacing w:after="0" w:line="292" w:lineRule="auto"/>
        <w:rPr>
          <w:sz w:val="20"/>
          <w:szCs w:val="20"/>
          <w:color w:val="auto"/>
        </w:rPr>
      </w:pPr>
      <w:r>
        <w:rPr>
          <w:rFonts w:ascii="Arial" w:cs="Arial" w:eastAsia="Arial" w:hAnsi="Arial"/>
          <w:sz w:val="20"/>
          <w:szCs w:val="20"/>
          <w:color w:val="auto"/>
        </w:rPr>
        <w:t>La producción abierta, distribuida y colaborativa es una red diseñada de modo que cualquier persona, en cualquier momento y lugar tenga la oportunidad de acceder a ella y usar sus datos para crear aplicaciones nuevas con las que administrar su vida diaria con un coste marginal casi nulo. Para esto, las personas explotan el potencial tecnológico, para generar y transmitir información, para resolver problemas y obtener tanto productos como servicios.</w:t>
      </w:r>
    </w:p>
    <w:p>
      <w:pPr>
        <w:spacing w:after="0" w:line="259" w:lineRule="exact"/>
        <w:rPr>
          <w:sz w:val="20"/>
          <w:szCs w:val="20"/>
          <w:color w:val="auto"/>
        </w:rPr>
      </w:pPr>
    </w:p>
    <w:p>
      <w:pPr>
        <w:ind w:right="940"/>
        <w:spacing w:after="0" w:line="311" w:lineRule="auto"/>
        <w:rPr>
          <w:sz w:val="20"/>
          <w:szCs w:val="20"/>
          <w:color w:val="auto"/>
        </w:rPr>
      </w:pPr>
      <w:r>
        <w:rPr>
          <w:rFonts w:ascii="Arial" w:cs="Arial" w:eastAsia="Arial" w:hAnsi="Arial"/>
          <w:sz w:val="28"/>
          <w:szCs w:val="28"/>
          <w:color w:val="434343"/>
        </w:rPr>
        <w:t>Pregunta 5: Qué ejemplos actuales de “procomunes” se le ocurren? Describa. Qué límites le ve Ud. a los procomunes como forma de producción?</w:t>
      </w:r>
    </w:p>
    <w:p>
      <w:pPr>
        <w:spacing w:after="0" w:line="1" w:lineRule="exact"/>
        <w:rPr>
          <w:sz w:val="20"/>
          <w:szCs w:val="20"/>
          <w:color w:val="auto"/>
        </w:rPr>
      </w:pPr>
    </w:p>
    <w:p>
      <w:pPr>
        <w:ind w:right="240"/>
        <w:spacing w:after="0" w:line="288" w:lineRule="auto"/>
        <w:rPr>
          <w:sz w:val="20"/>
          <w:szCs w:val="20"/>
          <w:color w:val="auto"/>
        </w:rPr>
      </w:pPr>
      <w:r>
        <w:rPr>
          <w:rFonts w:ascii="Arial" w:cs="Arial" w:eastAsia="Arial" w:hAnsi="Arial"/>
          <w:sz w:val="20"/>
          <w:szCs w:val="20"/>
          <w:color w:val="auto"/>
        </w:rPr>
        <w:t>Un ejemplo puede ser el sistema de rutas y calles de un país. Con el crecimiento de la población, empieza a incrementar el uso de automóviles, autobuses, camiones motocicletas y demás. Con este crecimiento el recurso se sobreexplota, llevando a que comience a colapsar, haciendo que no funcione adecuadamente, provocando embotellamientos y al mismo tiempo se contamina el medio ambiente.Lo que limita a los procomunes como forma de producción es la falta de cooperación de parte de los individuos para que los recursos no se sobreexploten, así, no se logra que el recurso se explote de manera razonable.</w:t>
      </w:r>
    </w:p>
    <w:p>
      <w:pPr>
        <w:spacing w:after="0" w:line="266" w:lineRule="exact"/>
        <w:rPr>
          <w:sz w:val="20"/>
          <w:szCs w:val="20"/>
          <w:color w:val="auto"/>
        </w:rPr>
      </w:pPr>
    </w:p>
    <w:p>
      <w:pPr>
        <w:ind w:right="160"/>
        <w:spacing w:after="0" w:line="311" w:lineRule="auto"/>
        <w:rPr>
          <w:sz w:val="20"/>
          <w:szCs w:val="20"/>
          <w:color w:val="auto"/>
        </w:rPr>
      </w:pPr>
      <w:r>
        <w:rPr>
          <w:rFonts w:ascii="Arial" w:cs="Arial" w:eastAsia="Arial" w:hAnsi="Arial"/>
          <w:sz w:val="28"/>
          <w:szCs w:val="28"/>
          <w:color w:val="434343"/>
        </w:rPr>
        <w:t>Pregunta 6: A la sociedad /economía del conocimiento, entendida como la 3ra revolución de Rifkin, cuál de las infraestructuras claves estaría más demorada y porqué? qué estaría faltando?</w:t>
      </w:r>
    </w:p>
    <w:p>
      <w:pPr>
        <w:spacing w:after="0" w:line="1" w:lineRule="exact"/>
        <w:rPr>
          <w:sz w:val="20"/>
          <w:szCs w:val="20"/>
          <w:color w:val="auto"/>
        </w:rPr>
      </w:pPr>
    </w:p>
    <w:p>
      <w:pPr>
        <w:ind w:right="200"/>
        <w:spacing w:after="0" w:line="296" w:lineRule="auto"/>
        <w:rPr>
          <w:sz w:val="20"/>
          <w:szCs w:val="20"/>
          <w:color w:val="auto"/>
        </w:rPr>
      </w:pPr>
      <w:r>
        <w:rPr>
          <w:rFonts w:ascii="Arial" w:cs="Arial" w:eastAsia="Arial" w:hAnsi="Arial"/>
          <w:sz w:val="20"/>
          <w:szCs w:val="20"/>
          <w:color w:val="auto"/>
        </w:rPr>
        <w:t>La infraestructura energética es la que se encuentra más demorada. Lo necesario para solucionar esta situación es abaratar los costos de la producción de energía renovable, ya sea solar, eólica u otra. Además de mas económica, esta debe ser accesible para todos por igual y no estar centralizada. Debe darse el paso de el consumo de energía fósil a energia renovable.</w:t>
      </w:r>
    </w:p>
    <w:p>
      <w:pPr>
        <w:spacing w:after="0" w:line="253" w:lineRule="exact"/>
        <w:rPr>
          <w:sz w:val="20"/>
          <w:szCs w:val="20"/>
          <w:color w:val="auto"/>
        </w:rPr>
      </w:pPr>
    </w:p>
    <w:p>
      <w:pPr>
        <w:ind w:right="480"/>
        <w:spacing w:after="0" w:line="321" w:lineRule="auto"/>
        <w:rPr>
          <w:sz w:val="20"/>
          <w:szCs w:val="20"/>
          <w:color w:val="auto"/>
        </w:rPr>
      </w:pPr>
      <w:r>
        <w:rPr>
          <w:rFonts w:ascii="Arial" w:cs="Arial" w:eastAsia="Arial" w:hAnsi="Arial"/>
          <w:sz w:val="28"/>
          <w:szCs w:val="28"/>
          <w:color w:val="434343"/>
        </w:rPr>
        <w:t>Pregunta 7: Cómo funcionaría (o se garantizaría) la ”innovación” bajo el procomún, comparado con el sistema capitalista?</w:t>
      </w:r>
    </w:p>
    <w:p>
      <w:pPr>
        <w:spacing w:after="0" w:line="1" w:lineRule="exact"/>
        <w:rPr>
          <w:sz w:val="20"/>
          <w:szCs w:val="20"/>
          <w:color w:val="auto"/>
        </w:rPr>
      </w:pPr>
    </w:p>
    <w:p>
      <w:pPr>
        <w:ind w:right="120"/>
        <w:spacing w:after="0" w:line="303" w:lineRule="auto"/>
        <w:rPr>
          <w:sz w:val="20"/>
          <w:szCs w:val="20"/>
          <w:color w:val="auto"/>
        </w:rPr>
      </w:pPr>
      <w:r>
        <w:rPr>
          <w:rFonts w:ascii="Arial" w:cs="Arial" w:eastAsia="Arial" w:hAnsi="Arial"/>
          <w:sz w:val="20"/>
          <w:szCs w:val="20"/>
          <w:color w:val="auto"/>
        </w:rPr>
        <w:t>El procomún funciona por la voluntad de los individuos, más allá de una motivación pecuniaria. El capitalismo establece que la gratuidad no motiva el innovar y crear nuevos productos. Pero el procomún insiste en que los individuos se encuentran motivados por el bienestar social o la autosuperación.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3</w:t>
      </w:r>
    </w:p>
    <w:p>
      <w:pPr>
        <w:sectPr>
          <w:pgSz w:w="12240" w:h="15840" w:orient="portrait"/>
          <w:cols w:equalWidth="0" w:num="1">
            <w:col w:w="9360"/>
          </w:cols>
          <w:pgMar w:left="1440" w:top="468" w:right="1440" w:bottom="515" w:gutter="0" w:footer="0" w:header="0"/>
        </w:sectPr>
      </w:pPr>
    </w:p>
    <w:bookmarkStart w:id="3" w:name="page4"/>
    <w:bookmarkEnd w:id="3"/>
    <w:tbl>
      <w:tblPr>
        <w:tblLayout w:type="fixed"/>
        <w:tblInd w:w="100" w:type="dxa"/>
        <w:tblCellMar>
          <w:top w:w="0" w:type="dxa"/>
          <w:left w:w="0" w:type="dxa"/>
          <w:bottom w:w="0" w:type="dxa"/>
          <w:right w:w="0" w:type="dxa"/>
        </w:tblCellMar>
      </w:tblPr>
      <w:tr>
        <w:trPr>
          <w:trHeight w:val="246"/>
        </w:trPr>
        <w:tc>
          <w:tcPr>
            <w:tcW w:w="2300" w:type="dxa"/>
            <w:vAlign w:val="bottom"/>
          </w:tcPr>
          <w:p>
            <w:pPr>
              <w:spacing w:after="0"/>
              <w:rPr>
                <w:sz w:val="20"/>
                <w:szCs w:val="20"/>
                <w:color w:val="auto"/>
              </w:rPr>
            </w:pPr>
            <w:r>
              <w:rPr>
                <w:rFonts w:ascii="Arial" w:cs="Arial" w:eastAsia="Arial" w:hAnsi="Arial"/>
                <w:sz w:val="20"/>
                <w:szCs w:val="20"/>
                <w:color w:val="auto"/>
              </w:rPr>
              <w:t>Melanie Blejter</w:t>
            </w:r>
          </w:p>
        </w:tc>
        <w:tc>
          <w:tcPr>
            <w:tcW w:w="3580" w:type="dxa"/>
            <w:vAlign w:val="bottom"/>
          </w:tcPr>
          <w:p>
            <w:pPr>
              <w:jc w:val="center"/>
              <w:ind w:left="880"/>
              <w:spacing w:after="0"/>
              <w:rPr>
                <w:sz w:val="20"/>
                <w:szCs w:val="20"/>
                <w:color w:val="auto"/>
              </w:rPr>
            </w:pPr>
            <w:r>
              <w:rPr>
                <w:rFonts w:ascii="Verdana" w:cs="Verdana" w:eastAsia="Verdana" w:hAnsi="Verdana"/>
                <w:sz w:val="20"/>
                <w:szCs w:val="20"/>
                <w:color w:val="auto"/>
              </w:rPr>
              <w:t>TP N° 5 –  La sociedad de</w:t>
            </w:r>
          </w:p>
        </w:tc>
      </w:tr>
      <w:tr>
        <w:trPr>
          <w:trHeight w:val="295"/>
        </w:trPr>
        <w:tc>
          <w:tcPr>
            <w:tcW w:w="2300" w:type="dxa"/>
            <w:vAlign w:val="bottom"/>
          </w:tcPr>
          <w:p>
            <w:pPr>
              <w:spacing w:after="0"/>
              <w:rPr>
                <w:sz w:val="20"/>
                <w:szCs w:val="20"/>
                <w:color w:val="auto"/>
              </w:rPr>
            </w:pPr>
            <w:r>
              <w:rPr>
                <w:rFonts w:ascii="Arial" w:cs="Arial" w:eastAsia="Arial" w:hAnsi="Arial"/>
                <w:sz w:val="20"/>
                <w:szCs w:val="20"/>
                <w:color w:val="auto"/>
              </w:rPr>
              <w:t>145.687-0</w:t>
            </w:r>
          </w:p>
        </w:tc>
        <w:tc>
          <w:tcPr>
            <w:tcW w:w="3580" w:type="dxa"/>
            <w:vAlign w:val="bottom"/>
          </w:tcPr>
          <w:p>
            <w:pPr>
              <w:jc w:val="center"/>
              <w:ind w:left="860"/>
              <w:spacing w:after="0" w:line="241" w:lineRule="exact"/>
              <w:rPr>
                <w:sz w:val="20"/>
                <w:szCs w:val="20"/>
                <w:color w:val="auto"/>
              </w:rPr>
            </w:pPr>
            <w:r>
              <w:rPr>
                <w:rFonts w:ascii="Verdana" w:cs="Verdana" w:eastAsia="Verdana" w:hAnsi="Verdana"/>
                <w:sz w:val="20"/>
                <w:szCs w:val="20"/>
                <w:color w:val="auto"/>
                <w:w w:val="99"/>
              </w:rPr>
              <w:t>costo marginal cero</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4972050</wp:posOffset>
            </wp:positionH>
            <wp:positionV relativeFrom="paragraph">
              <wp:posOffset>-316230</wp:posOffset>
            </wp:positionV>
            <wp:extent cx="885825" cy="3333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right="520"/>
        <w:spacing w:after="0" w:line="312" w:lineRule="auto"/>
        <w:rPr>
          <w:sz w:val="20"/>
          <w:szCs w:val="20"/>
          <w:color w:val="auto"/>
        </w:rPr>
      </w:pPr>
      <w:r>
        <w:rPr>
          <w:rFonts w:ascii="Arial" w:cs="Arial" w:eastAsia="Arial" w:hAnsi="Arial"/>
          <w:sz w:val="28"/>
          <w:szCs w:val="28"/>
          <w:color w:val="434343"/>
        </w:rPr>
        <w:t>Pregunta 8: Acorde su lectura de Rifkin y las clases de Prince, para el estadío actual de la economía, elija uno de estos “apellidos” y justifique brevemente.</w:t>
      </w:r>
    </w:p>
    <w:p>
      <w:pPr>
        <w:spacing w:after="0" w:line="229" w:lineRule="exact"/>
        <w:rPr>
          <w:sz w:val="20"/>
          <w:szCs w:val="20"/>
          <w:color w:val="auto"/>
        </w:rPr>
      </w:pPr>
    </w:p>
    <w:p>
      <w:pPr>
        <w:ind w:left="1440"/>
        <w:spacing w:after="0"/>
        <w:rPr>
          <w:sz w:val="20"/>
          <w:szCs w:val="20"/>
          <w:color w:val="auto"/>
        </w:rPr>
      </w:pPr>
      <w:r>
        <w:rPr>
          <w:rFonts w:ascii="Arial" w:cs="Arial" w:eastAsia="Arial" w:hAnsi="Arial"/>
          <w:sz w:val="28"/>
          <w:szCs w:val="28"/>
          <w:color w:val="434343"/>
        </w:rPr>
        <w:t>E. colaborativa</w:t>
      </w:r>
    </w:p>
    <w:p>
      <w:pPr>
        <w:spacing w:after="0" w:line="68" w:lineRule="exact"/>
        <w:rPr>
          <w:sz w:val="20"/>
          <w:szCs w:val="20"/>
          <w:color w:val="auto"/>
        </w:rPr>
      </w:pPr>
    </w:p>
    <w:p>
      <w:pPr>
        <w:ind w:left="1440"/>
        <w:spacing w:after="0"/>
        <w:rPr>
          <w:sz w:val="20"/>
          <w:szCs w:val="20"/>
          <w:color w:val="auto"/>
        </w:rPr>
      </w:pPr>
      <w:r>
        <w:rPr>
          <w:rFonts w:ascii="Arial" w:cs="Arial" w:eastAsia="Arial" w:hAnsi="Arial"/>
          <w:sz w:val="28"/>
          <w:szCs w:val="28"/>
          <w:color w:val="434343"/>
        </w:rPr>
        <w:t>E. de la Información</w:t>
      </w:r>
    </w:p>
    <w:p>
      <w:pPr>
        <w:spacing w:after="0" w:line="68" w:lineRule="exact"/>
        <w:rPr>
          <w:sz w:val="20"/>
          <w:szCs w:val="20"/>
          <w:color w:val="auto"/>
        </w:rPr>
      </w:pPr>
    </w:p>
    <w:p>
      <w:pPr>
        <w:ind w:left="1440"/>
        <w:spacing w:after="0"/>
        <w:rPr>
          <w:sz w:val="20"/>
          <w:szCs w:val="20"/>
          <w:color w:val="auto"/>
        </w:rPr>
      </w:pPr>
      <w:r>
        <w:rPr>
          <w:rFonts w:ascii="Arial" w:cs="Arial" w:eastAsia="Arial" w:hAnsi="Arial"/>
          <w:sz w:val="28"/>
          <w:szCs w:val="28"/>
          <w:color w:val="404040"/>
        </w:rPr>
        <w:t>E. del Conocimiento</w:t>
      </w:r>
    </w:p>
    <w:p>
      <w:pPr>
        <w:spacing w:after="0" w:line="68" w:lineRule="exact"/>
        <w:rPr>
          <w:sz w:val="20"/>
          <w:szCs w:val="20"/>
          <w:color w:val="auto"/>
        </w:rPr>
      </w:pPr>
    </w:p>
    <w:p>
      <w:pPr>
        <w:ind w:left="1440"/>
        <w:spacing w:after="0"/>
        <w:rPr>
          <w:sz w:val="20"/>
          <w:szCs w:val="20"/>
          <w:color w:val="auto"/>
        </w:rPr>
      </w:pPr>
      <w:r>
        <w:rPr>
          <w:rFonts w:ascii="Arial" w:cs="Arial" w:eastAsia="Arial" w:hAnsi="Arial"/>
          <w:sz w:val="28"/>
          <w:szCs w:val="28"/>
          <w:color w:val="434343"/>
        </w:rPr>
        <w:t>E. Digital</w:t>
      </w:r>
    </w:p>
    <w:p>
      <w:pPr>
        <w:spacing w:after="0" w:line="68" w:lineRule="exact"/>
        <w:rPr>
          <w:sz w:val="20"/>
          <w:szCs w:val="20"/>
          <w:color w:val="auto"/>
        </w:rPr>
      </w:pPr>
    </w:p>
    <w:p>
      <w:pPr>
        <w:ind w:left="1440"/>
        <w:spacing w:after="0"/>
        <w:rPr>
          <w:sz w:val="20"/>
          <w:szCs w:val="20"/>
          <w:color w:val="auto"/>
        </w:rPr>
      </w:pPr>
      <w:r>
        <w:rPr>
          <w:rFonts w:ascii="Arial" w:cs="Arial" w:eastAsia="Arial" w:hAnsi="Arial"/>
          <w:sz w:val="28"/>
          <w:szCs w:val="28"/>
          <w:color w:val="434343"/>
        </w:rPr>
        <w:t>E. Sustentable</w:t>
      </w:r>
    </w:p>
    <w:p>
      <w:pPr>
        <w:spacing w:after="0" w:line="68" w:lineRule="exact"/>
        <w:rPr>
          <w:sz w:val="20"/>
          <w:szCs w:val="20"/>
          <w:color w:val="auto"/>
        </w:rPr>
      </w:pPr>
    </w:p>
    <w:p>
      <w:pPr>
        <w:ind w:left="1440"/>
        <w:spacing w:after="0"/>
        <w:rPr>
          <w:sz w:val="20"/>
          <w:szCs w:val="20"/>
          <w:color w:val="auto"/>
        </w:rPr>
      </w:pPr>
      <w:r>
        <w:rPr>
          <w:rFonts w:ascii="Arial" w:cs="Arial" w:eastAsia="Arial" w:hAnsi="Arial"/>
          <w:sz w:val="28"/>
          <w:szCs w:val="28"/>
          <w:color w:val="434343"/>
        </w:rPr>
        <w:t>E. intangible o “sin peso”</w:t>
      </w:r>
    </w:p>
    <w:p>
      <w:pPr>
        <w:spacing w:after="0" w:line="68" w:lineRule="exact"/>
        <w:rPr>
          <w:sz w:val="20"/>
          <w:szCs w:val="20"/>
          <w:color w:val="auto"/>
        </w:rPr>
      </w:pPr>
    </w:p>
    <w:p>
      <w:pPr>
        <w:ind w:left="1440"/>
        <w:spacing w:after="0"/>
        <w:rPr>
          <w:sz w:val="20"/>
          <w:szCs w:val="20"/>
          <w:color w:val="auto"/>
        </w:rPr>
      </w:pPr>
      <w:r>
        <w:rPr>
          <w:rFonts w:ascii="Arial" w:cs="Arial" w:eastAsia="Arial" w:hAnsi="Arial"/>
          <w:sz w:val="28"/>
          <w:szCs w:val="28"/>
          <w:color w:val="434343"/>
        </w:rPr>
        <w:t>E. sin “fricción”.</w:t>
      </w:r>
    </w:p>
    <w:p>
      <w:pPr>
        <w:spacing w:after="0" w:line="150" w:lineRule="exact"/>
        <w:rPr>
          <w:sz w:val="20"/>
          <w:szCs w:val="20"/>
          <w:color w:val="auto"/>
        </w:rPr>
      </w:pPr>
    </w:p>
    <w:p>
      <w:pPr>
        <w:ind w:right="160"/>
        <w:spacing w:after="0" w:line="296" w:lineRule="auto"/>
        <w:rPr>
          <w:sz w:val="20"/>
          <w:szCs w:val="20"/>
          <w:color w:val="auto"/>
        </w:rPr>
      </w:pPr>
      <w:r>
        <w:rPr>
          <w:rFonts w:ascii="Arial" w:cs="Arial" w:eastAsia="Arial" w:hAnsi="Arial"/>
          <w:sz w:val="20"/>
          <w:szCs w:val="20"/>
          <w:color w:val="auto"/>
        </w:rPr>
        <w:t>El apellido que se adecua más al estadío actual de la economia es E. de la información. Hoy se puede acceder sin limites a la informacion de forma inmediata y sin mayores costes. Con acceso internet se puede acceder a todo tipo de informacion. Todavia no maduramos lo suficiente para poder colaborar de manera masiva.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4</w:t>
      </w:r>
    </w:p>
    <w:sectPr>
      <w:pgSz w:w="12240" w:h="15840" w:orient="portrait"/>
      <w:cols w:equalWidth="0" w:num="1">
        <w:col w:w="9360"/>
      </w:cols>
      <w:pgMar w:left="1440" w:top="468" w:right="1440" w:bottom="5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2020-07-16T09:41:16Z</dcterms:created>
  <dcterms:modified xsi:type="dcterms:W3CDTF">2020-07-16T09:41:16Z</dcterms:modified>
</cp:coreProperties>
</file>