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4: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“Adopción TIC”</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Hernán Maschwitz</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144.741-5</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hernanm992@gmail.com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spacing w:after="0"/>
        <w:rPr>
          <w:sz w:val="20"/>
          <w:szCs w:val="20"/>
          <w:color w:val="auto"/>
        </w:rPr>
      </w:pPr>
      <w:r>
        <w:rPr>
          <w:rFonts w:ascii="Arial" w:cs="Arial" w:eastAsia="Arial" w:hAnsi="Arial"/>
          <w:sz w:val="24"/>
          <w:szCs w:val="24"/>
          <w:b w:val="1"/>
          <w:bCs w:val="1"/>
          <w:color w:val="252525"/>
        </w:rPr>
        <w:t>Docente:</w:t>
      </w:r>
    </w:p>
    <w:p>
      <w:pPr>
        <w:spacing w:after="0" w:line="65" w:lineRule="exact"/>
        <w:rPr>
          <w:sz w:val="24"/>
          <w:szCs w:val="24"/>
          <w:color w:val="auto"/>
        </w:rPr>
      </w:pPr>
    </w:p>
    <w:p>
      <w:pPr>
        <w:spacing w:after="0"/>
        <w:rPr>
          <w:sz w:val="20"/>
          <w:szCs w:val="20"/>
          <w:color w:val="auto"/>
        </w:rPr>
      </w:pPr>
      <w:r>
        <w:rPr>
          <w:rFonts w:ascii="Arial" w:cs="Arial" w:eastAsia="Arial" w:hAnsi="Arial"/>
          <w:sz w:val="24"/>
          <w:szCs w:val="24"/>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3"/>
          <w:szCs w:val="23"/>
          <w:color w:val="252525"/>
        </w:rPr>
        <w:t>Alejandro Prince</w:t>
      </w:r>
    </w:p>
    <w:p>
      <w:pPr>
        <w:spacing w:after="0" w:line="66" w:lineRule="exact"/>
        <w:rPr>
          <w:sz w:val="24"/>
          <w:szCs w:val="24"/>
          <w:color w:val="auto"/>
        </w:rPr>
      </w:pPr>
    </w:p>
    <w:p>
      <w:pPr>
        <w:spacing w:after="0"/>
        <w:rPr>
          <w:sz w:val="20"/>
          <w:szCs w:val="20"/>
          <w:color w:val="auto"/>
        </w:rPr>
      </w:pPr>
      <w:r>
        <w:rPr>
          <w:rFonts w:ascii="Arial" w:cs="Arial" w:eastAsia="Arial" w:hAnsi="Arial"/>
          <w:sz w:val="24"/>
          <w:szCs w:val="24"/>
          <w:color w:val="252525"/>
        </w:rPr>
        <w:t>Hernán Borré</w:t>
      </w:r>
    </w:p>
    <w:p>
      <w:pPr>
        <w:spacing w:after="0" w:line="207" w:lineRule="exact"/>
        <w:rPr>
          <w:sz w:val="24"/>
          <w:szCs w:val="24"/>
          <w:color w:val="auto"/>
        </w:rPr>
      </w:pPr>
    </w:p>
    <w:p>
      <w:pPr>
        <w:sectPr>
          <w:pgSz w:w="12240" w:h="15840" w:orient="portrait"/>
          <w:cols w:equalWidth="0" w:num="2">
            <w:col w:w="1440" w:space="720"/>
            <w:col w:w="7200"/>
          </w:cols>
          <w:pgMar w:left="1440" w:top="1440" w:right="1440" w:bottom="144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Arial" w:cs="Arial" w:eastAsia="Arial" w:hAnsi="Arial"/>
          <w:sz w:val="24"/>
          <w:szCs w:val="24"/>
          <w:b w:val="1"/>
          <w:bCs w:val="1"/>
          <w:color w:val="252525"/>
        </w:rPr>
        <w:t xml:space="preserve">Fecha de entrega: </w:t>
      </w:r>
      <w:r>
        <w:rPr>
          <w:rFonts w:ascii="Arial" w:cs="Arial" w:eastAsia="Arial" w:hAnsi="Arial"/>
          <w:sz w:val="24"/>
          <w:szCs w:val="24"/>
          <w:color w:val="252525"/>
        </w:rPr>
        <w:t>26/09/2016</w:t>
      </w:r>
    </w:p>
    <w:p>
      <w:pPr>
        <w:sectPr>
          <w:pgSz w:w="12240" w:h="15840" w:orient="portrait"/>
          <w:cols w:equalWidth="0" w:num="1">
            <w:col w:w="9360"/>
          </w:cols>
          <w:pgMar w:left="1440" w:top="1440" w:right="1440" w:bottom="144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Qué se entiende por difusión y adopción de innovaciones.</w:t>
      </w:r>
    </w:p>
    <w:p>
      <w:pPr>
        <w:spacing w:after="0" w:line="61" w:lineRule="exact"/>
        <w:rPr>
          <w:rFonts w:ascii="Arial" w:cs="Arial" w:eastAsia="Arial" w:hAnsi="Arial"/>
          <w:sz w:val="24"/>
          <w:szCs w:val="24"/>
          <w:b w:val="1"/>
          <w:bCs w:val="1"/>
          <w:i w:val="1"/>
          <w:iCs w:val="1"/>
          <w:color w:val="252525"/>
        </w:rPr>
      </w:pPr>
    </w:p>
    <w:p>
      <w:pPr>
        <w:jc w:val="both"/>
        <w:ind w:left="720" w:right="80"/>
        <w:spacing w:after="0" w:line="304"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Se entiende por difusión y adopción de innovaciones al proceso por el cual una innovación (producto, tecnología, idea, etc.) es percibida y adoptada por miembros o grupos en una comunidad o espacio a lo largo del tiempo.</w:t>
      </w:r>
    </w:p>
    <w:p>
      <w:pPr>
        <w:spacing w:after="0" w:line="264" w:lineRule="exact"/>
        <w:rPr>
          <w:rFonts w:ascii="Arial" w:cs="Arial" w:eastAsia="Arial" w:hAnsi="Arial"/>
          <w:sz w:val="24"/>
          <w:szCs w:val="24"/>
          <w:b w:val="1"/>
          <w:bCs w:val="1"/>
          <w:i w:val="1"/>
          <w:iCs w:val="1"/>
          <w:color w:val="252525"/>
        </w:rPr>
      </w:pPr>
    </w:p>
    <w:p>
      <w:pPr>
        <w:ind w:left="720" w:hanging="360"/>
        <w:spacing w:after="0"/>
        <w:tabs>
          <w:tab w:leader="none" w:pos="720" w:val="left"/>
        </w:tabs>
        <w:numPr>
          <w:ilvl w:val="0"/>
          <w:numId w:val="1"/>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Diferencie la posición instrumentalista de la determinista.</w:t>
      </w:r>
    </w:p>
    <w:p>
      <w:pPr>
        <w:spacing w:after="0" w:line="61" w:lineRule="exact"/>
        <w:rPr>
          <w:rFonts w:ascii="Arial" w:cs="Arial" w:eastAsia="Arial" w:hAnsi="Arial"/>
          <w:sz w:val="24"/>
          <w:szCs w:val="24"/>
          <w:b w:val="1"/>
          <w:bCs w:val="1"/>
          <w:i w:val="1"/>
          <w:iCs w:val="1"/>
          <w:color w:val="252525"/>
        </w:rPr>
      </w:pPr>
    </w:p>
    <w:p>
      <w:pPr>
        <w:jc w:val="both"/>
        <w:ind w:left="720" w:right="60"/>
        <w:spacing w:after="0" w:line="284"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La posición instrumentalista ve las condiciones sociales y aspiraciones humanas como la causa principal del cambio, y a éste como un proceso evolutivo y continuo.</w:t>
      </w:r>
    </w:p>
    <w:p>
      <w:pPr>
        <w:spacing w:after="0" w:line="3" w:lineRule="exact"/>
        <w:rPr>
          <w:rFonts w:ascii="Arial" w:cs="Arial" w:eastAsia="Arial" w:hAnsi="Arial"/>
          <w:sz w:val="24"/>
          <w:szCs w:val="24"/>
          <w:b w:val="1"/>
          <w:bCs w:val="1"/>
          <w:i w:val="1"/>
          <w:iCs w:val="1"/>
          <w:color w:val="252525"/>
        </w:rPr>
      </w:pPr>
    </w:p>
    <w:p>
      <w:pPr>
        <w:ind w:left="720" w:right="80"/>
        <w:spacing w:after="0" w:line="328"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La visión determinista ve al cambio tecnológico como una fuerza autónoma y revolucionaria.</w:t>
      </w:r>
    </w:p>
    <w:p>
      <w:pPr>
        <w:spacing w:after="0" w:line="235" w:lineRule="exact"/>
        <w:rPr>
          <w:rFonts w:ascii="Arial" w:cs="Arial" w:eastAsia="Arial" w:hAnsi="Arial"/>
          <w:sz w:val="24"/>
          <w:szCs w:val="24"/>
          <w:b w:val="1"/>
          <w:bCs w:val="1"/>
          <w:i w:val="1"/>
          <w:iCs w:val="1"/>
          <w:color w:val="252525"/>
        </w:rPr>
      </w:pPr>
    </w:p>
    <w:p>
      <w:pPr>
        <w:ind w:left="720" w:right="80" w:hanging="360"/>
        <w:spacing w:after="0" w:line="290" w:lineRule="auto"/>
        <w:tabs>
          <w:tab w:leader="none" w:pos="720" w:val="left"/>
        </w:tabs>
        <w:numPr>
          <w:ilvl w:val="0"/>
          <w:numId w:val="1"/>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Indique los 5 determinantes principales del proceso de difusión según Rogers.</w:t>
      </w:r>
    </w:p>
    <w:p>
      <w:pPr>
        <w:ind w:left="1440" w:hanging="360"/>
        <w:spacing w:after="0"/>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Las Características de la innovación que pueden influenciar su adopción.</w:t>
      </w:r>
    </w:p>
    <w:p>
      <w:pPr>
        <w:spacing w:after="0" w:line="46" w:lineRule="exact"/>
        <w:rPr>
          <w:rFonts w:ascii="Arial" w:cs="Arial" w:eastAsia="Arial" w:hAnsi="Arial"/>
          <w:sz w:val="24"/>
          <w:szCs w:val="24"/>
          <w:b w:val="1"/>
          <w:bCs w:val="1"/>
          <w:i w:val="1"/>
          <w:iCs w:val="1"/>
          <w:color w:val="252525"/>
        </w:rPr>
      </w:pPr>
    </w:p>
    <w:p>
      <w:pPr>
        <w:ind w:left="1440" w:right="6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El Procedimiento de Decisión, que ocurre cuando los individuos consideran adoptar una nueva idea, producto o práctica,</w:t>
      </w:r>
    </w:p>
    <w:p>
      <w:pPr>
        <w:spacing w:after="0" w:line="2" w:lineRule="exact"/>
        <w:rPr>
          <w:rFonts w:ascii="Arial" w:cs="Arial" w:eastAsia="Arial" w:hAnsi="Arial"/>
          <w:sz w:val="24"/>
          <w:szCs w:val="24"/>
          <w:b w:val="1"/>
          <w:bCs w:val="1"/>
          <w:i w:val="1"/>
          <w:iCs w:val="1"/>
          <w:color w:val="252525"/>
        </w:rPr>
      </w:pPr>
    </w:p>
    <w:p>
      <w:pPr>
        <w:ind w:left="1440" w:right="8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Las Características de los individuos que se muestran de acuerdo con adoptar una innovación,</w:t>
      </w:r>
    </w:p>
    <w:p>
      <w:pPr>
        <w:spacing w:after="0" w:line="2" w:lineRule="exact"/>
        <w:rPr>
          <w:rFonts w:ascii="Arial" w:cs="Arial" w:eastAsia="Arial" w:hAnsi="Arial"/>
          <w:sz w:val="24"/>
          <w:szCs w:val="24"/>
          <w:b w:val="1"/>
          <w:bCs w:val="1"/>
          <w:i w:val="1"/>
          <w:iCs w:val="1"/>
          <w:color w:val="252525"/>
        </w:rPr>
      </w:pPr>
    </w:p>
    <w:p>
      <w:pPr>
        <w:ind w:left="1440" w:right="8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Las Consecuencias o Beneficios para los individuos y para la sociedad de adoptar una innovación y, finalmente,</w:t>
      </w:r>
    </w:p>
    <w:p>
      <w:pPr>
        <w:spacing w:after="0" w:line="2"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Los Canales de Comunicación usados en este proceso de adopción.</w:t>
      </w:r>
    </w:p>
    <w:p>
      <w:pPr>
        <w:spacing w:after="0" w:line="384" w:lineRule="exact"/>
        <w:rPr>
          <w:rFonts w:ascii="Arial" w:cs="Arial" w:eastAsia="Arial" w:hAnsi="Arial"/>
          <w:sz w:val="24"/>
          <w:szCs w:val="24"/>
          <w:b w:val="1"/>
          <w:bCs w:val="1"/>
          <w:i w:val="1"/>
          <w:iCs w:val="1"/>
          <w:color w:val="252525"/>
        </w:rPr>
      </w:pPr>
    </w:p>
    <w:p>
      <w:pPr>
        <w:ind w:left="720" w:right="80" w:hanging="360"/>
        <w:spacing w:after="0" w:line="290" w:lineRule="auto"/>
        <w:tabs>
          <w:tab w:leader="none" w:pos="720" w:val="left"/>
        </w:tabs>
        <w:numPr>
          <w:ilvl w:val="0"/>
          <w:numId w:val="1"/>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Explique según Rogers las 5 categorías de integrantes de la adopción. Grafique.</w:t>
      </w:r>
    </w:p>
    <w:p>
      <w:pPr>
        <w:ind w:left="1440" w:right="40" w:hanging="360"/>
        <w:spacing w:after="0" w:line="283"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Innovadores. Valientes promotores del cambio. Son mecanismos importantes de comunicación.</w:t>
      </w:r>
    </w:p>
    <w:p>
      <w:pPr>
        <w:spacing w:after="0" w:line="1" w:lineRule="exact"/>
        <w:rPr>
          <w:rFonts w:ascii="Arial" w:cs="Arial" w:eastAsia="Arial" w:hAnsi="Arial"/>
          <w:sz w:val="24"/>
          <w:szCs w:val="24"/>
          <w:b w:val="1"/>
          <w:bCs w:val="1"/>
          <w:i w:val="1"/>
          <w:iCs w:val="1"/>
          <w:color w:val="252525"/>
        </w:rPr>
      </w:pPr>
    </w:p>
    <w:p>
      <w:pPr>
        <w:ind w:left="1440" w:right="6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Adoptantes tempranos. Gente respetable, líderes de opinión, prueban nuevas ideas, pero de una manera más cuidadosa.</w:t>
      </w:r>
    </w:p>
    <w:p>
      <w:pPr>
        <w:spacing w:after="0" w:line="2" w:lineRule="exact"/>
        <w:rPr>
          <w:rFonts w:ascii="Arial" w:cs="Arial" w:eastAsia="Arial" w:hAnsi="Arial"/>
          <w:sz w:val="24"/>
          <w:szCs w:val="24"/>
          <w:b w:val="1"/>
          <w:bCs w:val="1"/>
          <w:i w:val="1"/>
          <w:iCs w:val="1"/>
          <w:color w:val="252525"/>
        </w:rPr>
      </w:pPr>
    </w:p>
    <w:p>
      <w:pPr>
        <w:ind w:left="1440" w:right="6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Mayoría temprana. La gente racional, acepta el cambio más rápidamente que lo hace la gente media.</w:t>
      </w:r>
    </w:p>
    <w:p>
      <w:pPr>
        <w:spacing w:after="0" w:line="2" w:lineRule="exact"/>
        <w:rPr>
          <w:rFonts w:ascii="Arial" w:cs="Arial" w:eastAsia="Arial" w:hAnsi="Arial"/>
          <w:sz w:val="24"/>
          <w:szCs w:val="24"/>
          <w:b w:val="1"/>
          <w:bCs w:val="1"/>
          <w:i w:val="1"/>
          <w:iCs w:val="1"/>
          <w:color w:val="252525"/>
        </w:rPr>
      </w:pPr>
    </w:p>
    <w:p>
      <w:pPr>
        <w:ind w:left="1440" w:right="60" w:hanging="360"/>
        <w:spacing w:after="0" w:line="286"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Mayoría Tardía. La gente escéptica, utilizará nuevas ideas o productos solamente cuando la mayoría la está utilizando.</w:t>
      </w:r>
    </w:p>
    <w:p>
      <w:pPr>
        <w:spacing w:after="0" w:line="2" w:lineRule="exact"/>
        <w:rPr>
          <w:rFonts w:ascii="Arial" w:cs="Arial" w:eastAsia="Arial" w:hAnsi="Arial"/>
          <w:sz w:val="24"/>
          <w:szCs w:val="24"/>
          <w:b w:val="1"/>
          <w:bCs w:val="1"/>
          <w:i w:val="1"/>
          <w:iCs w:val="1"/>
          <w:color w:val="252525"/>
        </w:rPr>
      </w:pPr>
    </w:p>
    <w:p>
      <w:pPr>
        <w:ind w:left="1440" w:right="60" w:hanging="360"/>
        <w:spacing w:after="0" w:line="328" w:lineRule="auto"/>
        <w:tabs>
          <w:tab w:leader="none" w:pos="1440" w:val="left"/>
        </w:tabs>
        <w:numPr>
          <w:ilvl w:val="1"/>
          <w:numId w:val="1"/>
        </w:numPr>
        <w:rPr>
          <w:rFonts w:ascii="Arial" w:cs="Arial" w:eastAsia="Arial" w:hAnsi="Arial"/>
          <w:sz w:val="24"/>
          <w:szCs w:val="24"/>
          <w:b w:val="1"/>
          <w:bCs w:val="1"/>
          <w:i w:val="1"/>
          <w:iCs w:val="1"/>
          <w:color w:val="252525"/>
        </w:rPr>
      </w:pPr>
      <w:r>
        <w:rPr>
          <w:rFonts w:ascii="Arial" w:cs="Arial" w:eastAsia="Arial" w:hAnsi="Arial"/>
          <w:sz w:val="24"/>
          <w:szCs w:val="24"/>
          <w:color w:val="252525"/>
        </w:rPr>
        <w:t>Rezagados. La gente tradicional, crítica sobre nuevas ideas, las aceptarán cuando se han transformado ya casi en una tradición.</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6</w:t>
      </w:r>
    </w:p>
    <w:p>
      <w:pPr>
        <w:sectPr>
          <w:pgSz w:w="12240" w:h="15840" w:orient="portrait"/>
          <w:cols w:equalWidth="0" w:num="1">
            <w:col w:w="9360"/>
          </w:cols>
          <w:pgMar w:left="1440" w:top="80" w:right="1440" w:bottom="513"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523875</wp:posOffset>
            </wp:positionH>
            <wp:positionV relativeFrom="paragraph">
              <wp:posOffset>615950</wp:posOffset>
            </wp:positionV>
            <wp:extent cx="4895850" cy="2533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95850" cy="2533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Defina según Rogers a los innovadores y adoptantes temporarios.</w:t>
      </w:r>
    </w:p>
    <w:p>
      <w:pPr>
        <w:spacing w:after="0" w:line="61"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2"/>
        </w:numPr>
        <w:rPr>
          <w:rFonts w:ascii="Arial" w:cs="Arial" w:eastAsia="Arial" w:hAnsi="Arial"/>
          <w:sz w:val="24"/>
          <w:szCs w:val="24"/>
          <w:b w:val="1"/>
          <w:bCs w:val="1"/>
          <w:i w:val="1"/>
          <w:iCs w:val="1"/>
          <w:color w:val="252525"/>
        </w:rPr>
      </w:pPr>
      <w:r>
        <w:rPr>
          <w:rFonts w:ascii="Arial" w:cs="Arial" w:eastAsia="Arial" w:hAnsi="Arial"/>
          <w:sz w:val="24"/>
          <w:szCs w:val="24"/>
          <w:b w:val="1"/>
          <w:bCs w:val="1"/>
          <w:color w:val="252525"/>
        </w:rPr>
        <w:t>Innovadores:</w:t>
      </w:r>
    </w:p>
    <w:p>
      <w:pPr>
        <w:spacing w:after="0" w:line="54" w:lineRule="exact"/>
        <w:rPr>
          <w:rFonts w:ascii="Arial" w:cs="Arial" w:eastAsia="Arial" w:hAnsi="Arial"/>
          <w:sz w:val="24"/>
          <w:szCs w:val="24"/>
          <w:b w:val="1"/>
          <w:bCs w:val="1"/>
          <w:i w:val="1"/>
          <w:iCs w:val="1"/>
          <w:color w:val="252525"/>
        </w:rPr>
      </w:pPr>
    </w:p>
    <w:p>
      <w:pPr>
        <w:ind w:left="2160" w:hanging="480"/>
        <w:spacing w:after="0"/>
        <w:tabs>
          <w:tab w:leader="none" w:pos="2160" w:val="left"/>
        </w:tabs>
        <w:numPr>
          <w:ilvl w:val="3"/>
          <w:numId w:val="2"/>
        </w:numPr>
        <w:rPr>
          <w:rFonts w:ascii="Arial" w:cs="Arial" w:eastAsia="Arial" w:hAnsi="Arial"/>
          <w:sz w:val="24"/>
          <w:szCs w:val="24"/>
          <w:b w:val="1"/>
          <w:bCs w:val="1"/>
          <w:i w:val="1"/>
          <w:iCs w:val="1"/>
          <w:color w:val="252525"/>
        </w:rPr>
      </w:pPr>
      <w:r>
        <w:rPr>
          <w:rFonts w:ascii="Arial" w:cs="Arial" w:eastAsia="Arial" w:hAnsi="Arial"/>
          <w:sz w:val="24"/>
          <w:szCs w:val="24"/>
          <w:color w:val="252525"/>
        </w:rPr>
        <w:t>Son arriesgados, atrevidos, con alta propensión al riesgo.</w:t>
      </w:r>
    </w:p>
    <w:p>
      <w:pPr>
        <w:spacing w:after="0" w:line="46" w:lineRule="exact"/>
        <w:rPr>
          <w:rFonts w:ascii="Arial" w:cs="Arial" w:eastAsia="Arial" w:hAnsi="Arial"/>
          <w:sz w:val="24"/>
          <w:szCs w:val="24"/>
          <w:b w:val="1"/>
          <w:bCs w:val="1"/>
          <w:i w:val="1"/>
          <w:iCs w:val="1"/>
          <w:color w:val="252525"/>
        </w:rPr>
      </w:pPr>
    </w:p>
    <w:p>
      <w:pPr>
        <w:ind w:left="2160" w:right="60" w:hanging="540"/>
        <w:spacing w:after="0" w:line="286" w:lineRule="auto"/>
        <w:tabs>
          <w:tab w:leader="none" w:pos="2160" w:val="left"/>
        </w:tabs>
        <w:numPr>
          <w:ilvl w:val="3"/>
          <w:numId w:val="2"/>
        </w:numPr>
        <w:rPr>
          <w:rFonts w:ascii="Arial" w:cs="Arial" w:eastAsia="Arial" w:hAnsi="Arial"/>
          <w:sz w:val="24"/>
          <w:szCs w:val="24"/>
          <w:b w:val="1"/>
          <w:bCs w:val="1"/>
          <w:i w:val="1"/>
          <w:iCs w:val="1"/>
          <w:color w:val="252525"/>
        </w:rPr>
      </w:pPr>
      <w:r>
        <w:rPr>
          <w:rFonts w:ascii="Arial" w:cs="Arial" w:eastAsia="Arial" w:hAnsi="Arial"/>
          <w:sz w:val="24"/>
          <w:szCs w:val="24"/>
          <w:color w:val="252525"/>
        </w:rPr>
        <w:t>Suelen tener los medios necesarios como para poder absorber las posibles pérdidas de una innovación improductiva.</w:t>
      </w:r>
    </w:p>
    <w:p>
      <w:pPr>
        <w:spacing w:after="0" w:line="2" w:lineRule="exact"/>
        <w:rPr>
          <w:rFonts w:ascii="Arial" w:cs="Arial" w:eastAsia="Arial" w:hAnsi="Arial"/>
          <w:sz w:val="24"/>
          <w:szCs w:val="24"/>
          <w:b w:val="1"/>
          <w:bCs w:val="1"/>
          <w:i w:val="1"/>
          <w:iCs w:val="1"/>
          <w:color w:val="252525"/>
        </w:rPr>
      </w:pPr>
    </w:p>
    <w:p>
      <w:pPr>
        <w:ind w:left="2160" w:right="60" w:hanging="600"/>
        <w:spacing w:after="0" w:line="286" w:lineRule="auto"/>
        <w:tabs>
          <w:tab w:leader="none" w:pos="2160" w:val="left"/>
        </w:tabs>
        <w:numPr>
          <w:ilvl w:val="2"/>
          <w:numId w:val="2"/>
        </w:numPr>
        <w:rPr>
          <w:rFonts w:ascii="Arial" w:cs="Arial" w:eastAsia="Arial" w:hAnsi="Arial"/>
          <w:sz w:val="24"/>
          <w:szCs w:val="24"/>
          <w:b w:val="1"/>
          <w:bCs w:val="1"/>
          <w:i w:val="1"/>
          <w:iCs w:val="1"/>
          <w:color w:val="252525"/>
        </w:rPr>
      </w:pPr>
      <w:r>
        <w:rPr>
          <w:rFonts w:ascii="Arial" w:cs="Arial" w:eastAsia="Arial" w:hAnsi="Arial"/>
          <w:sz w:val="24"/>
          <w:szCs w:val="24"/>
          <w:color w:val="252525"/>
        </w:rPr>
        <w:t>Poseen la habilidad para entender y aplicar una innovación compleja</w:t>
      </w:r>
    </w:p>
    <w:p>
      <w:pPr>
        <w:spacing w:after="0" w:line="2" w:lineRule="exact"/>
        <w:rPr>
          <w:rFonts w:ascii="Arial" w:cs="Arial" w:eastAsia="Arial" w:hAnsi="Arial"/>
          <w:sz w:val="24"/>
          <w:szCs w:val="24"/>
          <w:b w:val="1"/>
          <w:bCs w:val="1"/>
          <w:i w:val="1"/>
          <w:iCs w:val="1"/>
          <w:color w:val="252525"/>
        </w:rPr>
      </w:pPr>
    </w:p>
    <w:p>
      <w:pPr>
        <w:ind w:left="2160" w:hanging="600"/>
        <w:spacing w:after="0"/>
        <w:tabs>
          <w:tab w:leader="none" w:pos="2160" w:val="left"/>
        </w:tabs>
        <w:numPr>
          <w:ilvl w:val="2"/>
          <w:numId w:val="2"/>
        </w:numPr>
        <w:rPr>
          <w:rFonts w:ascii="Arial" w:cs="Arial" w:eastAsia="Arial" w:hAnsi="Arial"/>
          <w:sz w:val="24"/>
          <w:szCs w:val="24"/>
          <w:b w:val="1"/>
          <w:bCs w:val="1"/>
          <w:i w:val="1"/>
          <w:iCs w:val="1"/>
          <w:color w:val="252525"/>
        </w:rPr>
      </w:pPr>
      <w:r>
        <w:rPr>
          <w:rFonts w:ascii="Arial" w:cs="Arial" w:eastAsia="Arial" w:hAnsi="Arial"/>
          <w:sz w:val="24"/>
          <w:szCs w:val="24"/>
          <w:color w:val="252525"/>
        </w:rPr>
        <w:t>Aceptan la incertidumbre respecto de una innovación</w:t>
      </w:r>
    </w:p>
    <w:p>
      <w:pPr>
        <w:spacing w:after="0" w:line="54" w:lineRule="exact"/>
        <w:rPr>
          <w:rFonts w:ascii="Arial" w:cs="Arial" w:eastAsia="Arial" w:hAnsi="Arial"/>
          <w:sz w:val="24"/>
          <w:szCs w:val="24"/>
          <w:b w:val="1"/>
          <w:bCs w:val="1"/>
          <w:i w:val="1"/>
          <w:iCs w:val="1"/>
          <w:color w:val="252525"/>
        </w:rPr>
      </w:pPr>
    </w:p>
    <w:p>
      <w:pPr>
        <w:ind w:left="2160" w:hanging="555"/>
        <w:spacing w:after="0"/>
        <w:tabs>
          <w:tab w:leader="none" w:pos="2160" w:val="left"/>
        </w:tabs>
        <w:numPr>
          <w:ilvl w:val="3"/>
          <w:numId w:val="3"/>
        </w:numPr>
        <w:rPr>
          <w:rFonts w:ascii="Arial" w:cs="Arial" w:eastAsia="Arial" w:hAnsi="Arial"/>
          <w:sz w:val="24"/>
          <w:szCs w:val="24"/>
          <w:b w:val="1"/>
          <w:bCs w:val="1"/>
          <w:i w:val="1"/>
          <w:iCs w:val="1"/>
          <w:color w:val="252525"/>
        </w:rPr>
      </w:pPr>
      <w:r>
        <w:rPr>
          <w:rFonts w:ascii="Arial" w:cs="Arial" w:eastAsia="Arial" w:hAnsi="Arial"/>
          <w:sz w:val="24"/>
          <w:szCs w:val="24"/>
          <w:color w:val="252525"/>
        </w:rPr>
        <w:t>Suelen no ser comprendidos por otros individuos o grupos</w:t>
      </w:r>
    </w:p>
    <w:p>
      <w:pPr>
        <w:spacing w:after="0" w:line="50"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4"/>
        </w:numPr>
        <w:rPr>
          <w:rFonts w:ascii="Arial" w:cs="Arial" w:eastAsia="Arial" w:hAnsi="Arial"/>
          <w:sz w:val="24"/>
          <w:szCs w:val="24"/>
          <w:b w:val="1"/>
          <w:bCs w:val="1"/>
          <w:i w:val="1"/>
          <w:iCs w:val="1"/>
          <w:color w:val="252525"/>
        </w:rPr>
      </w:pPr>
      <w:r>
        <w:rPr>
          <w:rFonts w:ascii="Arial" w:cs="Arial" w:eastAsia="Arial" w:hAnsi="Arial"/>
          <w:sz w:val="24"/>
          <w:szCs w:val="24"/>
          <w:b w:val="1"/>
          <w:bCs w:val="1"/>
          <w:color w:val="252525"/>
        </w:rPr>
        <w:t>Adoptantes temporarios:</w:t>
      </w:r>
    </w:p>
    <w:p>
      <w:pPr>
        <w:spacing w:after="0" w:line="65" w:lineRule="exact"/>
        <w:rPr>
          <w:rFonts w:ascii="Arial" w:cs="Arial" w:eastAsia="Arial" w:hAnsi="Arial"/>
          <w:sz w:val="24"/>
          <w:szCs w:val="24"/>
          <w:b w:val="1"/>
          <w:bCs w:val="1"/>
          <w:i w:val="1"/>
          <w:iCs w:val="1"/>
          <w:color w:val="252525"/>
        </w:rPr>
      </w:pPr>
    </w:p>
    <w:p>
      <w:pPr>
        <w:ind w:left="2160" w:hanging="480"/>
        <w:spacing w:after="0"/>
        <w:tabs>
          <w:tab w:leader="none" w:pos="2160" w:val="left"/>
        </w:tabs>
        <w:numPr>
          <w:ilvl w:val="3"/>
          <w:numId w:val="4"/>
        </w:numPr>
        <w:rPr>
          <w:rFonts w:ascii="Arial" w:cs="Arial" w:eastAsia="Arial" w:hAnsi="Arial"/>
          <w:sz w:val="24"/>
          <w:szCs w:val="24"/>
          <w:b w:val="1"/>
          <w:bCs w:val="1"/>
          <w:i w:val="1"/>
          <w:iCs w:val="1"/>
          <w:color w:val="252525"/>
        </w:rPr>
      </w:pPr>
      <w:r>
        <w:rPr>
          <w:rFonts w:ascii="Arial" w:cs="Arial" w:eastAsia="Arial" w:hAnsi="Arial"/>
          <w:sz w:val="24"/>
          <w:szCs w:val="24"/>
          <w:color w:val="252525"/>
        </w:rPr>
        <w:t>Integrados al sistema social local, respetados por sus pares</w:t>
      </w:r>
    </w:p>
    <w:p>
      <w:pPr>
        <w:spacing w:after="0" w:line="46" w:lineRule="exact"/>
        <w:rPr>
          <w:rFonts w:ascii="Arial" w:cs="Arial" w:eastAsia="Arial" w:hAnsi="Arial"/>
          <w:sz w:val="24"/>
          <w:szCs w:val="24"/>
          <w:b w:val="1"/>
          <w:bCs w:val="1"/>
          <w:i w:val="1"/>
          <w:iCs w:val="1"/>
          <w:color w:val="252525"/>
        </w:rPr>
      </w:pPr>
    </w:p>
    <w:p>
      <w:pPr>
        <w:ind w:left="2160" w:right="80" w:hanging="540"/>
        <w:spacing w:after="0" w:line="286" w:lineRule="auto"/>
        <w:tabs>
          <w:tab w:leader="none" w:pos="2160" w:val="left"/>
        </w:tabs>
        <w:numPr>
          <w:ilvl w:val="3"/>
          <w:numId w:val="4"/>
        </w:numPr>
        <w:rPr>
          <w:rFonts w:ascii="Arial" w:cs="Arial" w:eastAsia="Arial" w:hAnsi="Arial"/>
          <w:sz w:val="24"/>
          <w:szCs w:val="24"/>
          <w:b w:val="1"/>
          <w:bCs w:val="1"/>
          <w:i w:val="1"/>
          <w:iCs w:val="1"/>
          <w:color w:val="252525"/>
        </w:rPr>
      </w:pPr>
      <w:r>
        <w:rPr>
          <w:rFonts w:ascii="Arial" w:cs="Arial" w:eastAsia="Arial" w:hAnsi="Arial"/>
          <w:sz w:val="24"/>
          <w:szCs w:val="24"/>
          <w:color w:val="252525"/>
        </w:rPr>
        <w:t>Alto grado de liderazgo de opinión entre miembros de sus comunidades</w:t>
      </w:r>
    </w:p>
    <w:p>
      <w:pPr>
        <w:spacing w:after="0" w:line="2" w:lineRule="exact"/>
        <w:rPr>
          <w:rFonts w:ascii="Arial" w:cs="Arial" w:eastAsia="Arial" w:hAnsi="Arial"/>
          <w:sz w:val="24"/>
          <w:szCs w:val="24"/>
          <w:b w:val="1"/>
          <w:bCs w:val="1"/>
          <w:i w:val="1"/>
          <w:iCs w:val="1"/>
          <w:color w:val="252525"/>
        </w:rPr>
      </w:pPr>
    </w:p>
    <w:p>
      <w:pPr>
        <w:ind w:left="2160" w:hanging="600"/>
        <w:spacing w:after="0"/>
        <w:tabs>
          <w:tab w:leader="none" w:pos="2160" w:val="left"/>
        </w:tabs>
        <w:numPr>
          <w:ilvl w:val="2"/>
          <w:numId w:val="4"/>
        </w:numPr>
        <w:rPr>
          <w:rFonts w:ascii="Arial" w:cs="Arial" w:eastAsia="Arial" w:hAnsi="Arial"/>
          <w:sz w:val="24"/>
          <w:szCs w:val="24"/>
          <w:b w:val="1"/>
          <w:bCs w:val="1"/>
          <w:i w:val="1"/>
          <w:iCs w:val="1"/>
          <w:color w:val="252525"/>
        </w:rPr>
      </w:pPr>
      <w:r>
        <w:rPr>
          <w:rFonts w:ascii="Arial" w:cs="Arial" w:eastAsia="Arial" w:hAnsi="Arial"/>
          <w:sz w:val="24"/>
          <w:szCs w:val="24"/>
          <w:color w:val="252525"/>
        </w:rPr>
        <w:t>Sirven de modelos de comportamiento para otros individuos</w:t>
      </w:r>
    </w:p>
    <w:p>
      <w:pPr>
        <w:spacing w:after="0" w:line="54" w:lineRule="exact"/>
        <w:rPr>
          <w:rFonts w:ascii="Arial" w:cs="Arial" w:eastAsia="Arial" w:hAnsi="Arial"/>
          <w:sz w:val="24"/>
          <w:szCs w:val="24"/>
          <w:b w:val="1"/>
          <w:bCs w:val="1"/>
          <w:i w:val="1"/>
          <w:iCs w:val="1"/>
          <w:color w:val="252525"/>
        </w:rPr>
      </w:pPr>
    </w:p>
    <w:p>
      <w:pPr>
        <w:ind w:left="2160" w:hanging="600"/>
        <w:spacing w:after="0"/>
        <w:tabs>
          <w:tab w:leader="none" w:pos="2160" w:val="left"/>
        </w:tabs>
        <w:numPr>
          <w:ilvl w:val="2"/>
          <w:numId w:val="4"/>
        </w:numPr>
        <w:rPr>
          <w:rFonts w:ascii="Arial" w:cs="Arial" w:eastAsia="Arial" w:hAnsi="Arial"/>
          <w:sz w:val="24"/>
          <w:szCs w:val="24"/>
          <w:b w:val="1"/>
          <w:bCs w:val="1"/>
          <w:i w:val="1"/>
          <w:iCs w:val="1"/>
          <w:color w:val="252525"/>
        </w:rPr>
      </w:pPr>
      <w:r>
        <w:rPr>
          <w:rFonts w:ascii="Arial" w:cs="Arial" w:eastAsia="Arial" w:hAnsi="Arial"/>
          <w:sz w:val="24"/>
          <w:szCs w:val="24"/>
          <w:color w:val="252525"/>
        </w:rPr>
        <w:t>Son considerados exitosos</w:t>
      </w:r>
    </w:p>
    <w:p>
      <w:pPr>
        <w:spacing w:after="0" w:line="384" w:lineRule="exact"/>
        <w:rPr>
          <w:rFonts w:ascii="Arial" w:cs="Arial" w:eastAsia="Arial" w:hAnsi="Arial"/>
          <w:sz w:val="24"/>
          <w:szCs w:val="24"/>
          <w:b w:val="1"/>
          <w:bCs w:val="1"/>
          <w:i w:val="1"/>
          <w:iCs w:val="1"/>
          <w:color w:val="252525"/>
        </w:rPr>
      </w:pPr>
    </w:p>
    <w:p>
      <w:pPr>
        <w:ind w:left="720" w:hanging="360"/>
        <w:spacing w:after="0"/>
        <w:tabs>
          <w:tab w:leader="none" w:pos="720" w:val="left"/>
        </w:tabs>
        <w:numPr>
          <w:ilvl w:val="0"/>
          <w:numId w:val="5"/>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Defina según Rogers las características de los rezagados.</w:t>
      </w:r>
    </w:p>
    <w:p>
      <w:pPr>
        <w:spacing w:after="0" w:line="61"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No tienen liderazgo de opinión alguno</w:t>
      </w:r>
    </w:p>
    <w:p>
      <w:pPr>
        <w:spacing w:after="0" w:line="46"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Están más aislados que los otros grupos</w:t>
      </w:r>
    </w:p>
    <w:p>
      <w:pPr>
        <w:spacing w:after="0" w:line="54"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Su referencia principal es el pasado</w:t>
      </w:r>
    </w:p>
    <w:p>
      <w:pPr>
        <w:spacing w:after="0" w:line="54"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Son suspicaces respecto de las innovaciones</w:t>
      </w:r>
    </w:p>
    <w:p>
      <w:pPr>
        <w:spacing w:after="0" w:line="54"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Sus procesos de decisión o cambio son lentos</w:t>
      </w:r>
    </w:p>
    <w:p>
      <w:pPr>
        <w:spacing w:after="0" w:line="54" w:lineRule="exact"/>
        <w:rPr>
          <w:rFonts w:ascii="Arial" w:cs="Arial" w:eastAsia="Arial" w:hAnsi="Arial"/>
          <w:sz w:val="24"/>
          <w:szCs w:val="24"/>
          <w:b w:val="1"/>
          <w:bCs w:val="1"/>
          <w:i w:val="1"/>
          <w:iCs w:val="1"/>
          <w:color w:val="252525"/>
        </w:rPr>
      </w:pPr>
    </w:p>
    <w:p>
      <w:pPr>
        <w:ind w:left="1440" w:hanging="360"/>
        <w:spacing w:after="0"/>
        <w:tabs>
          <w:tab w:leader="none" w:pos="1440" w:val="left"/>
        </w:tabs>
        <w:numPr>
          <w:ilvl w:val="1"/>
          <w:numId w:val="5"/>
        </w:numPr>
        <w:rPr>
          <w:rFonts w:ascii="Arial" w:cs="Arial" w:eastAsia="Arial" w:hAnsi="Arial"/>
          <w:sz w:val="24"/>
          <w:szCs w:val="24"/>
          <w:b w:val="1"/>
          <w:bCs w:val="1"/>
          <w:i w:val="1"/>
          <w:iCs w:val="1"/>
          <w:color w:val="252525"/>
        </w:rPr>
      </w:pPr>
      <w:r>
        <w:rPr>
          <w:rFonts w:ascii="Arial" w:cs="Arial" w:eastAsia="Arial" w:hAnsi="Arial"/>
          <w:sz w:val="24"/>
          <w:szCs w:val="24"/>
          <w:color w:val="252525"/>
        </w:rPr>
        <w:t>Sus recursos son limitados</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3 de 6</w:t>
      </w:r>
    </w:p>
    <w:p>
      <w:pPr>
        <w:sectPr>
          <w:pgSz w:w="12240" w:h="15840" w:orient="portrait"/>
          <w:cols w:equalWidth="0" w:num="1">
            <w:col w:w="9360"/>
          </w:cols>
          <w:pgMar w:left="1440" w:top="80" w:right="1440" w:bottom="513"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Explique según Rosemberg el rol del aprendizaje en la adopción.</w:t>
      </w:r>
    </w:p>
    <w:p>
      <w:pPr>
        <w:spacing w:after="0" w:line="61" w:lineRule="exact"/>
        <w:rPr>
          <w:rFonts w:ascii="Arial" w:cs="Arial" w:eastAsia="Arial" w:hAnsi="Arial"/>
          <w:sz w:val="24"/>
          <w:szCs w:val="24"/>
          <w:b w:val="1"/>
          <w:bCs w:val="1"/>
          <w:i w:val="1"/>
          <w:iCs w:val="1"/>
          <w:color w:val="252525"/>
        </w:rPr>
      </w:pPr>
    </w:p>
    <w:p>
      <w:pPr>
        <w:jc w:val="both"/>
        <w:ind w:left="720" w:right="60"/>
        <w:spacing w:after="0" w:line="293"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La difusión de innovaciones es a menudo acompañada por el aprendizaje sobre su uso en diferentes entornos, y que esto a su vez retroalimenta hacia mejoras en la innovación. Asimismo creemos que este hecho realimenta también la difusión entre diferentes individuos y grupos. Así la innovación, “aprende” de sus usos y usuarios y lo devuelve en versiones mejoradas o ampliadas en prestaciones, facilidad de uso, etc.</w:t>
      </w:r>
    </w:p>
    <w:p>
      <w:pPr>
        <w:spacing w:after="0" w:line="281" w:lineRule="exact"/>
        <w:rPr>
          <w:rFonts w:ascii="Arial" w:cs="Arial" w:eastAsia="Arial" w:hAnsi="Arial"/>
          <w:sz w:val="24"/>
          <w:szCs w:val="24"/>
          <w:b w:val="1"/>
          <w:bCs w:val="1"/>
          <w:i w:val="1"/>
          <w:iCs w:val="1"/>
          <w:color w:val="252525"/>
        </w:rPr>
      </w:pPr>
    </w:p>
    <w:p>
      <w:pPr>
        <w:ind w:left="720" w:right="80" w:hanging="360"/>
        <w:spacing w:after="0" w:line="290" w:lineRule="auto"/>
        <w:tabs>
          <w:tab w:leader="none" w:pos="720" w:val="left"/>
        </w:tabs>
        <w:numPr>
          <w:ilvl w:val="0"/>
          <w:numId w:val="6"/>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Explique según HALL el rol de los costos hundidos en la adopción y porque ésta es un ¨absorbing state¨.</w:t>
      </w:r>
    </w:p>
    <w:p>
      <w:pPr>
        <w:jc w:val="both"/>
        <w:ind w:left="720" w:right="60"/>
        <w:spacing w:after="0" w:line="289"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Los costos de adopción, sobre todo los no pecuniarios como el de aprendizaje, son incurridos al momento de la decisión de adopción. Si bien pueden existir costos de mantenimiento, reparación, servicio o uso, suelen ser muy menores a los costos iniciales. Estos costos son denominados enterrados o “hundidos” (sunked costs). Es decir, que el adoptante potencial evalúa exante los costos fijos de adopción contra los beneficios esperados, pero expost, esos costos son irrelevantes ya que no pueden ser recuperados. El costo total baja en las etapas sucesivas. La adopción es un absorbing state según Hall, un “viaje de ida” como hemos planteado en muchas conferencias y trabajos propios, ya que no es nada usual ver el retorno a modalidades o tecnologías anteriores. Esto es consecuencia de lo anteriormente planteado, discontinuar el uso es perder todos los beneficios, aunque sean menos de los esperados, sin recuperar ni una mínima parte del costo enterrado o hundido.</w:t>
      </w:r>
    </w:p>
    <w:p>
      <w:pPr>
        <w:spacing w:after="0" w:line="292" w:lineRule="exact"/>
        <w:rPr>
          <w:rFonts w:ascii="Arial" w:cs="Arial" w:eastAsia="Arial" w:hAnsi="Arial"/>
          <w:sz w:val="24"/>
          <w:szCs w:val="24"/>
          <w:b w:val="1"/>
          <w:bCs w:val="1"/>
          <w:i w:val="1"/>
          <w:iCs w:val="1"/>
          <w:color w:val="252525"/>
        </w:rPr>
      </w:pPr>
    </w:p>
    <w:p>
      <w:pPr>
        <w:ind w:left="720" w:right="80" w:hanging="360"/>
        <w:spacing w:after="0" w:line="290" w:lineRule="auto"/>
        <w:tabs>
          <w:tab w:leader="none" w:pos="720" w:val="left"/>
        </w:tabs>
        <w:numPr>
          <w:ilvl w:val="0"/>
          <w:numId w:val="6"/>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Según Caselli y Coleman cuales son los 4 principales determinante de adopción de PC, comparando entre diversos países.</w:t>
      </w:r>
    </w:p>
    <w:p>
      <w:pPr>
        <w:jc w:val="both"/>
        <w:ind w:left="720" w:right="40"/>
        <w:spacing w:after="0" w:line="285"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La adopción de computadoras depende fuertemente de la existencia de altos niveles de educación de la fuerza laboral de un país (skill- bias). Los datos locales soportan que Argentina no escapa a esta regla ya que tanto en las PC usadas en empresas como sobre todo en la adopción en hogares, el mayor nivel educativo y el nivel socio-ocupacional (que correlaciona fuertemente con nivel socioeconómico) son explicadores consistentes de mayores tasas de penetración. Según el estudio de Caselli y Coleman, realizado en base a datos de importación de computadores en varios países para el período 1970-90, otros importantes determinantes de adopción son:</w:t>
      </w:r>
    </w:p>
    <w:p>
      <w:pPr>
        <w:spacing w:after="0" w:line="9" w:lineRule="exact"/>
        <w:rPr>
          <w:rFonts w:ascii="Arial" w:cs="Arial" w:eastAsia="Arial" w:hAnsi="Arial"/>
          <w:sz w:val="24"/>
          <w:szCs w:val="24"/>
          <w:b w:val="1"/>
          <w:bCs w:val="1"/>
          <w:i w:val="1"/>
          <w:iCs w:val="1"/>
          <w:color w:val="252525"/>
        </w:rPr>
      </w:pPr>
    </w:p>
    <w:p>
      <w:pPr>
        <w:jc w:val="both"/>
        <w:ind w:left="720" w:right="60"/>
        <w:spacing w:after="0" w:line="286" w:lineRule="auto"/>
        <w:rPr>
          <w:rFonts w:ascii="Arial" w:cs="Arial" w:eastAsia="Arial" w:hAnsi="Arial"/>
          <w:sz w:val="24"/>
          <w:szCs w:val="24"/>
          <w:b w:val="1"/>
          <w:bCs w:val="1"/>
          <w:i w:val="1"/>
          <w:iCs w:val="1"/>
          <w:color w:val="252525"/>
        </w:rPr>
      </w:pPr>
      <w:r>
        <w:rPr>
          <w:rFonts w:ascii="Arial" w:cs="Arial" w:eastAsia="Arial" w:hAnsi="Arial"/>
          <w:sz w:val="24"/>
          <w:szCs w:val="24"/>
          <w:b w:val="1"/>
          <w:bCs w:val="1"/>
          <w:color w:val="252525"/>
        </w:rPr>
        <w:t xml:space="preserve">· </w:t>
      </w:r>
      <w:r>
        <w:rPr>
          <w:rFonts w:ascii="Arial" w:cs="Arial" w:eastAsia="Arial" w:hAnsi="Arial"/>
          <w:sz w:val="24"/>
          <w:szCs w:val="24"/>
          <w:color w:val="252525"/>
        </w:rPr>
        <w:t>Las fuentes y tipo de comercio con otros países, los países con grandes</w:t>
      </w:r>
      <w:r>
        <w:rPr>
          <w:rFonts w:ascii="Arial" w:cs="Arial" w:eastAsia="Arial" w:hAnsi="Arial"/>
          <w:sz w:val="24"/>
          <w:szCs w:val="24"/>
          <w:b w:val="1"/>
          <w:bCs w:val="1"/>
          <w:color w:val="252525"/>
        </w:rPr>
        <w:t xml:space="preserve"> </w:t>
      </w:r>
      <w:r>
        <w:rPr>
          <w:rFonts w:ascii="Arial" w:cs="Arial" w:eastAsia="Arial" w:hAnsi="Arial"/>
          <w:sz w:val="24"/>
          <w:szCs w:val="24"/>
          <w:color w:val="252525"/>
        </w:rPr>
        <w:t>importaciones manufactureras desde países de la OECD tiene niveles mayores de adopción.</w:t>
      </w:r>
    </w:p>
    <w:p>
      <w:pPr>
        <w:ind w:left="720"/>
        <w:spacing w:after="0" w:line="235" w:lineRule="auto"/>
        <w:rPr>
          <w:rFonts w:ascii="Arial" w:cs="Arial" w:eastAsia="Arial" w:hAnsi="Arial"/>
          <w:sz w:val="24"/>
          <w:szCs w:val="24"/>
          <w:b w:val="1"/>
          <w:bCs w:val="1"/>
          <w:i w:val="1"/>
          <w:iCs w:val="1"/>
          <w:color w:val="252525"/>
        </w:rPr>
      </w:pPr>
      <w:r>
        <w:rPr>
          <w:rFonts w:ascii="Arial" w:cs="Arial" w:eastAsia="Arial" w:hAnsi="Arial"/>
          <w:sz w:val="24"/>
          <w:szCs w:val="24"/>
          <w:b w:val="1"/>
          <w:bCs w:val="1"/>
          <w:color w:val="252525"/>
        </w:rPr>
        <w:t>·</w:t>
      </w:r>
      <w:r>
        <w:rPr>
          <w:rFonts w:ascii="Gautami" w:cs="Gautami" w:eastAsia="Gautami" w:hAnsi="Gautami"/>
          <w:sz w:val="24"/>
          <w:szCs w:val="24"/>
          <w:b w:val="1"/>
          <w:bCs w:val="1"/>
          <w:color w:val="252525"/>
        </w:rPr>
        <w:t>​</w:t>
      </w:r>
      <w:r>
        <w:rPr>
          <w:rFonts w:ascii="Arial" w:cs="Arial" w:eastAsia="Arial" w:hAnsi="Arial"/>
          <w:sz w:val="24"/>
          <w:szCs w:val="24"/>
          <w:color w:val="252525"/>
        </w:rPr>
        <w:t>La protección de derechos de autor.</w:t>
      </w:r>
    </w:p>
    <w:p>
      <w:pPr>
        <w:sectPr>
          <w:pgSz w:w="12240" w:h="15840" w:orient="portrait"/>
          <w:cols w:equalWidth="0" w:num="1">
            <w:col w:w="9360"/>
          </w:cols>
          <w:pgMar w:left="1440" w:top="80" w:right="1440" w:bottom="513" w:gutter="0" w:footer="0" w:header="0"/>
        </w:sectPr>
      </w:pPr>
    </w:p>
    <w:p>
      <w:pPr>
        <w:spacing w:after="0" w:line="96"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4 de 6</w:t>
      </w:r>
    </w:p>
    <w:p>
      <w:pPr>
        <w:sectPr>
          <w:pgSz w:w="12240" w:h="15840" w:orient="portrait"/>
          <w:cols w:equalWidth="0" w:num="1">
            <w:col w:w="9360"/>
          </w:cols>
          <w:pgMar w:left="1440" w:top="80" w:right="1440" w:bottom="513"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252525"/>
        </w:rPr>
        <w:t>·</w:t>
      </w:r>
      <w:r>
        <w:rPr>
          <w:rFonts w:ascii="Gautami" w:cs="Gautami" w:eastAsia="Gautami" w:hAnsi="Gautami"/>
          <w:sz w:val="24"/>
          <w:szCs w:val="24"/>
          <w:b w:val="1"/>
          <w:bCs w:val="1"/>
          <w:color w:val="252525"/>
        </w:rPr>
        <w:t>​</w:t>
      </w:r>
      <w:r>
        <w:rPr>
          <w:rFonts w:ascii="Arial" w:cs="Arial" w:eastAsia="Arial" w:hAnsi="Arial"/>
          <w:sz w:val="24"/>
          <w:szCs w:val="24"/>
          <w:color w:val="252525"/>
        </w:rPr>
        <w:t>Las inversiones por trabajador.</w:t>
      </w:r>
    </w:p>
    <w:p>
      <w:pPr>
        <w:ind w:left="720" w:right="120"/>
        <w:spacing w:after="0" w:line="205" w:lineRule="auto"/>
        <w:rPr>
          <w:sz w:val="20"/>
          <w:szCs w:val="20"/>
          <w:color w:val="auto"/>
        </w:rPr>
      </w:pPr>
      <w:r>
        <w:rPr>
          <w:rFonts w:ascii="Arial" w:cs="Arial" w:eastAsia="Arial" w:hAnsi="Arial"/>
          <w:sz w:val="24"/>
          <w:szCs w:val="24"/>
          <w:b w:val="1"/>
          <w:bCs w:val="1"/>
          <w:color w:val="252525"/>
        </w:rPr>
        <w:t xml:space="preserve">· </w:t>
      </w:r>
      <w:r>
        <w:rPr>
          <w:rFonts w:ascii="Gautami" w:cs="Gautami" w:eastAsia="Gautami" w:hAnsi="Gautami"/>
          <w:sz w:val="24"/>
          <w:szCs w:val="24"/>
          <w:b w:val="1"/>
          <w:bCs w:val="1"/>
          <w:color w:val="252525"/>
        </w:rPr>
        <w:t>​</w:t>
      </w:r>
      <w:r>
        <w:rPr>
          <w:rFonts w:ascii="Arial" w:cs="Arial" w:eastAsia="Arial" w:hAnsi="Arial"/>
          <w:sz w:val="24"/>
          <w:szCs w:val="24"/>
          <w:color w:val="252525"/>
        </w:rPr>
        <w:t>Una baja proporción en el PBI del Gobierno y de la agricultura, tanto como una</w:t>
      </w:r>
      <w:r>
        <w:rPr>
          <w:rFonts w:ascii="Arial" w:cs="Arial" w:eastAsia="Arial" w:hAnsi="Arial"/>
          <w:sz w:val="24"/>
          <w:szCs w:val="24"/>
          <w:b w:val="1"/>
          <w:bCs w:val="1"/>
          <w:color w:val="252525"/>
        </w:rPr>
        <w:t xml:space="preserve"> </w:t>
      </w:r>
      <w:r>
        <w:rPr>
          <w:rFonts w:ascii="Arial" w:cs="Arial" w:eastAsia="Arial" w:hAnsi="Arial"/>
          <w:sz w:val="24"/>
          <w:szCs w:val="24"/>
          <w:color w:val="252525"/>
        </w:rPr>
        <w:t>gran proporción de las manufacturas en el PBI.</w:t>
      </w:r>
    </w:p>
    <w:p>
      <w:pPr>
        <w:spacing w:after="0" w:line="338" w:lineRule="exact"/>
        <w:rPr>
          <w:sz w:val="20"/>
          <w:szCs w:val="20"/>
          <w:color w:val="auto"/>
        </w:rPr>
      </w:pPr>
    </w:p>
    <w:p>
      <w:pPr>
        <w:ind w:left="720" w:right="120" w:hanging="360"/>
        <w:spacing w:after="0" w:line="290" w:lineRule="auto"/>
        <w:tabs>
          <w:tab w:leader="none" w:pos="720" w:val="left"/>
        </w:tabs>
        <w:numPr>
          <w:ilvl w:val="0"/>
          <w:numId w:val="7"/>
        </w:numPr>
        <w:rPr>
          <w:rFonts w:ascii="Arial" w:cs="Arial" w:eastAsia="Arial" w:hAnsi="Arial"/>
          <w:sz w:val="24"/>
          <w:szCs w:val="24"/>
          <w:b w:val="1"/>
          <w:bCs w:val="1"/>
          <w:i w:val="1"/>
          <w:iCs w:val="1"/>
          <w:color w:val="252525"/>
        </w:rPr>
      </w:pPr>
      <w:r>
        <w:rPr>
          <w:rFonts w:ascii="Arial" w:cs="Arial" w:eastAsia="Arial" w:hAnsi="Arial"/>
          <w:sz w:val="24"/>
          <w:szCs w:val="24"/>
          <w:b w:val="1"/>
          <w:bCs w:val="1"/>
          <w:i w:val="1"/>
          <w:iCs w:val="1"/>
          <w:color w:val="252525"/>
        </w:rPr>
        <w:t>Explique según Dutton y otros que es y que rol juega el hecho de que la PC sea ¨innovación activa¨</w:t>
      </w:r>
    </w:p>
    <w:p>
      <w:pPr>
        <w:jc w:val="both"/>
        <w:ind w:left="720" w:right="60"/>
        <w:spacing w:after="0" w:line="304" w:lineRule="auto"/>
        <w:rPr>
          <w:rFonts w:ascii="Arial" w:cs="Arial" w:eastAsia="Arial" w:hAnsi="Arial"/>
          <w:sz w:val="24"/>
          <w:szCs w:val="24"/>
          <w:b w:val="1"/>
          <w:bCs w:val="1"/>
          <w:i w:val="1"/>
          <w:iCs w:val="1"/>
          <w:color w:val="252525"/>
        </w:rPr>
      </w:pPr>
      <w:r>
        <w:rPr>
          <w:rFonts w:ascii="Arial" w:cs="Arial" w:eastAsia="Arial" w:hAnsi="Arial"/>
          <w:sz w:val="24"/>
          <w:szCs w:val="24"/>
          <w:color w:val="252525"/>
        </w:rPr>
        <w:t>La PC es una innovación activa ya que a diferencia de la televisión envuelve al usuario en una conducta del tipo problema – resolución. La naturaleza interactiva del PC lo distingue de otras invenciones de las comunicaciones.</w:t>
      </w:r>
    </w:p>
    <w:p>
      <w:pPr>
        <w:spacing w:after="0" w:line="264" w:lineRule="exact"/>
        <w:rPr>
          <w:rFonts w:ascii="Arial" w:cs="Arial" w:eastAsia="Arial" w:hAnsi="Arial"/>
          <w:sz w:val="24"/>
          <w:szCs w:val="24"/>
          <w:b w:val="1"/>
          <w:bCs w:val="1"/>
          <w:i w:val="1"/>
          <w:iCs w:val="1"/>
          <w:color w:val="252525"/>
        </w:rPr>
      </w:pPr>
    </w:p>
    <w:p>
      <w:pPr>
        <w:ind w:left="720" w:right="80" w:hanging="360"/>
        <w:spacing w:after="0" w:line="290" w:lineRule="auto"/>
        <w:tabs>
          <w:tab w:leader="none" w:pos="720" w:val="left"/>
        </w:tabs>
        <w:numPr>
          <w:ilvl w:val="0"/>
          <w:numId w:val="7"/>
        </w:numPr>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b w:val="1"/>
          <w:bCs w:val="1"/>
          <w:i w:val="1"/>
          <w:iCs w:val="1"/>
          <w:color w:val="252525"/>
        </w:rPr>
        <w:t>Qué utilidad tiene el modelo Bass, descríbalo y formule describiendo los parámetros.</w:t>
      </w:r>
    </w:p>
    <w:p>
      <w:pPr>
        <w:jc w:val="both"/>
        <w:ind w:left="720" w:right="80"/>
        <w:spacing w:after="0" w:line="284" w:lineRule="auto"/>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color w:val="252525"/>
        </w:rPr>
        <w:t>Frank Bass desarrolló un modelo matemático –conocido como el “Modelo de Difusión de Bass”- que ha sido un eje de las distintas técnicas de estimación de la demanda de nuevos productos durante las últimas cuatro décadas.</w:t>
      </w:r>
    </w:p>
    <w:p>
      <w:pPr>
        <w:spacing w:after="0" w:line="3" w:lineRule="exact"/>
        <w:rPr>
          <w:rFonts w:ascii="Times New Roman" w:cs="Times New Roman" w:eastAsia="Times New Roman" w:hAnsi="Times New Roman"/>
          <w:sz w:val="22"/>
          <w:szCs w:val="22"/>
          <w:b w:val="1"/>
          <w:bCs w:val="1"/>
          <w:i w:val="1"/>
          <w:iCs w:val="1"/>
          <w:color w:val="252525"/>
        </w:rPr>
      </w:pPr>
    </w:p>
    <w:p>
      <w:pPr>
        <w:jc w:val="both"/>
        <w:ind w:left="720" w:right="80"/>
        <w:spacing w:after="0" w:line="287" w:lineRule="auto"/>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color w:val="252525"/>
        </w:rPr>
        <w:t>En términos simples, la formulación matemática de Bass dice que, el número de consumidores que compran un nuevo producto en un momento determinado del tiempo, es función de la demanda de los individuos innovadores, y de la demanda de los imitadores (que consumen un producto porque los demás lo hacen). Matemáticamente, el modelo de Bass se define de la siguiente manera</w:t>
      </w:r>
    </w:p>
    <w:p>
      <w:pPr>
        <w:spacing w:after="0" w:line="1" w:lineRule="exact"/>
        <w:rPr>
          <w:rFonts w:ascii="Times New Roman" w:cs="Times New Roman" w:eastAsia="Times New Roman" w:hAnsi="Times New Roman"/>
          <w:sz w:val="22"/>
          <w:szCs w:val="22"/>
          <w:b w:val="1"/>
          <w:bCs w:val="1"/>
          <w:i w:val="1"/>
          <w:iCs w:val="1"/>
          <w:color w:val="252525"/>
        </w:rPr>
      </w:pPr>
    </w:p>
    <w:p>
      <w:pPr>
        <w:ind w:left="2880"/>
        <w:spacing w:after="0"/>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b w:val="1"/>
          <w:bCs w:val="1"/>
          <w:i w:val="1"/>
          <w:iCs w:val="1"/>
          <w:color w:val="252525"/>
        </w:rPr>
        <w:t>S(t)= [p+(q/m) N(t-1)] [m-N(t-1)] (1)</w:t>
      </w:r>
    </w:p>
    <w:p>
      <w:pPr>
        <w:spacing w:after="0" w:line="52" w:lineRule="exact"/>
        <w:rPr>
          <w:rFonts w:ascii="Times New Roman" w:cs="Times New Roman" w:eastAsia="Times New Roman" w:hAnsi="Times New Roman"/>
          <w:sz w:val="22"/>
          <w:szCs w:val="22"/>
          <w:b w:val="1"/>
          <w:bCs w:val="1"/>
          <w:i w:val="1"/>
          <w:iCs w:val="1"/>
          <w:color w:val="252525"/>
        </w:rPr>
      </w:pPr>
    </w:p>
    <w:p>
      <w:pPr>
        <w:ind w:left="720"/>
        <w:spacing w:after="0"/>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color w:val="252525"/>
        </w:rPr>
        <w:t>Donde:</w:t>
      </w:r>
    </w:p>
    <w:p>
      <w:pPr>
        <w:spacing w:after="0" w:line="47" w:lineRule="exact"/>
        <w:rPr>
          <w:rFonts w:ascii="Times New Roman" w:cs="Times New Roman" w:eastAsia="Times New Roman" w:hAnsi="Times New Roman"/>
          <w:sz w:val="22"/>
          <w:szCs w:val="22"/>
          <w:b w:val="1"/>
          <w:bCs w:val="1"/>
          <w:i w:val="1"/>
          <w:iCs w:val="1"/>
          <w:color w:val="252525"/>
        </w:rPr>
      </w:pPr>
    </w:p>
    <w:p>
      <w:pPr>
        <w:ind w:left="720" w:right="80"/>
        <w:spacing w:after="0" w:line="235" w:lineRule="auto"/>
        <w:rPr>
          <w:rFonts w:ascii="Times New Roman" w:cs="Times New Roman" w:eastAsia="Times New Roman" w:hAnsi="Times New Roman"/>
          <w:sz w:val="22"/>
          <w:szCs w:val="22"/>
          <w:b w:val="1"/>
          <w:bCs w:val="1"/>
          <w:i w:val="1"/>
          <w:iCs w:val="1"/>
          <w:color w:val="252525"/>
        </w:rPr>
      </w:pPr>
      <w:r>
        <w:rPr>
          <w:rFonts w:ascii="Arial" w:cs="Arial" w:eastAsia="Arial" w:hAnsi="Arial"/>
          <w:sz w:val="24"/>
          <w:szCs w:val="24"/>
          <w:b w:val="1"/>
          <w:bCs w:val="1"/>
          <w:color w:val="252525"/>
        </w:rPr>
        <w:t>N(t)</w:t>
      </w:r>
      <w:r>
        <w:rPr>
          <w:rFonts w:ascii="Gautami" w:cs="Gautami" w:eastAsia="Gautami" w:hAnsi="Gautami"/>
          <w:sz w:val="24"/>
          <w:szCs w:val="24"/>
          <w:b w:val="1"/>
          <w:bCs w:val="1"/>
          <w:color w:val="252525"/>
        </w:rPr>
        <w:t>​</w:t>
      </w:r>
      <w:r>
        <w:rPr>
          <w:rFonts w:ascii="Arial" w:cs="Arial" w:eastAsia="Arial" w:hAnsi="Arial"/>
          <w:sz w:val="24"/>
          <w:szCs w:val="24"/>
          <w:color w:val="252525"/>
        </w:rPr>
        <w:t>= número de consumidores que adoptaron el producto en el momento t.</w:t>
      </w:r>
      <w:r>
        <w:rPr>
          <w:rFonts w:ascii="Arial" w:cs="Arial" w:eastAsia="Arial" w:hAnsi="Arial"/>
          <w:sz w:val="24"/>
          <w:szCs w:val="24"/>
          <w:b w:val="1"/>
          <w:bCs w:val="1"/>
          <w:color w:val="252525"/>
        </w:rPr>
        <w:t xml:space="preserve"> S(t) </w:t>
      </w:r>
      <w:r>
        <w:rPr>
          <w:rFonts w:ascii="Arial" w:cs="Arial" w:eastAsia="Arial" w:hAnsi="Arial"/>
          <w:sz w:val="24"/>
          <w:szCs w:val="24"/>
          <w:color w:val="252525"/>
        </w:rPr>
        <w:t>= número de nuevos consumidores que adoptaron el producto en el período</w:t>
      </w:r>
      <w:r>
        <w:rPr>
          <w:rFonts w:ascii="Arial" w:cs="Arial" w:eastAsia="Arial" w:hAnsi="Arial"/>
          <w:sz w:val="24"/>
          <w:szCs w:val="24"/>
          <w:b w:val="1"/>
          <w:bCs w:val="1"/>
          <w:color w:val="252525"/>
        </w:rPr>
        <w:t xml:space="preserve"> </w:t>
      </w:r>
      <w:r>
        <w:rPr>
          <w:rFonts w:ascii="Arial" w:cs="Arial" w:eastAsia="Arial" w:hAnsi="Arial"/>
          <w:sz w:val="24"/>
          <w:szCs w:val="24"/>
          <w:color w:val="252525"/>
        </w:rPr>
        <w:t>t. Consecuentemente:</w:t>
      </w:r>
    </w:p>
    <w:p>
      <w:pPr>
        <w:spacing w:after="0" w:line="10" w:lineRule="exact"/>
        <w:rPr>
          <w:sz w:val="20"/>
          <w:szCs w:val="20"/>
          <w:color w:val="auto"/>
        </w:rPr>
      </w:pPr>
    </w:p>
    <w:p>
      <w:pPr>
        <w:ind w:left="3600"/>
        <w:spacing w:after="0"/>
        <w:rPr>
          <w:sz w:val="20"/>
          <w:szCs w:val="20"/>
          <w:color w:val="auto"/>
        </w:rPr>
      </w:pPr>
      <w:r>
        <w:rPr>
          <w:rFonts w:ascii="Arial" w:cs="Arial" w:eastAsia="Arial" w:hAnsi="Arial"/>
          <w:sz w:val="24"/>
          <w:szCs w:val="24"/>
          <w:b w:val="1"/>
          <w:bCs w:val="1"/>
          <w:i w:val="1"/>
          <w:iCs w:val="1"/>
          <w:color w:val="252525"/>
        </w:rPr>
        <w:t>S(t) = N(t) – N (t-1)</w:t>
      </w:r>
    </w:p>
    <w:p>
      <w:pPr>
        <w:spacing w:after="0" w:line="52" w:lineRule="exact"/>
        <w:rPr>
          <w:sz w:val="20"/>
          <w:szCs w:val="20"/>
          <w:color w:val="auto"/>
        </w:rPr>
      </w:pPr>
    </w:p>
    <w:p>
      <w:pPr>
        <w:ind w:left="720"/>
        <w:spacing w:after="0"/>
        <w:rPr>
          <w:sz w:val="20"/>
          <w:szCs w:val="20"/>
          <w:color w:val="auto"/>
        </w:rPr>
      </w:pPr>
      <w:r>
        <w:rPr>
          <w:rFonts w:ascii="Arial" w:cs="Arial" w:eastAsia="Arial" w:hAnsi="Arial"/>
          <w:sz w:val="24"/>
          <w:szCs w:val="24"/>
          <w:color w:val="252525"/>
        </w:rPr>
        <w:t>Los parámetros básicos del modelo son:</w:t>
      </w:r>
    </w:p>
    <w:p>
      <w:pPr>
        <w:spacing w:after="0" w:line="47" w:lineRule="exact"/>
        <w:rPr>
          <w:sz w:val="20"/>
          <w:szCs w:val="20"/>
          <w:color w:val="auto"/>
        </w:rPr>
      </w:pPr>
    </w:p>
    <w:p>
      <w:pPr>
        <w:jc w:val="both"/>
        <w:ind w:left="720" w:right="80"/>
        <w:spacing w:after="0" w:line="235" w:lineRule="auto"/>
        <w:rPr>
          <w:sz w:val="20"/>
          <w:szCs w:val="20"/>
          <w:color w:val="auto"/>
        </w:rPr>
      </w:pPr>
      <w:r>
        <w:rPr>
          <w:rFonts w:ascii="Arial" w:cs="Arial" w:eastAsia="Arial" w:hAnsi="Arial"/>
          <w:sz w:val="24"/>
          <w:szCs w:val="24"/>
          <w:b w:val="1"/>
          <w:bCs w:val="1"/>
          <w:color w:val="252525"/>
        </w:rPr>
        <w:t>m</w:t>
      </w:r>
      <w:r>
        <w:rPr>
          <w:rFonts w:ascii="Gautami" w:cs="Gautami" w:eastAsia="Gautami" w:hAnsi="Gautami"/>
          <w:sz w:val="24"/>
          <w:szCs w:val="24"/>
          <w:b w:val="1"/>
          <w:bCs w:val="1"/>
          <w:color w:val="252525"/>
        </w:rPr>
        <w:t>​</w:t>
      </w:r>
      <w:r>
        <w:rPr>
          <w:rFonts w:ascii="Arial" w:cs="Arial" w:eastAsia="Arial" w:hAnsi="Arial"/>
          <w:sz w:val="24"/>
          <w:szCs w:val="24"/>
          <w:color w:val="252525"/>
        </w:rPr>
        <w:t>: máximo número de consumidores que pueden adquirir el producto (lo que no</w:t>
      </w:r>
      <w:r>
        <w:rPr>
          <w:rFonts w:ascii="Arial" w:cs="Arial" w:eastAsia="Arial" w:hAnsi="Arial"/>
          <w:sz w:val="24"/>
          <w:szCs w:val="24"/>
          <w:b w:val="1"/>
          <w:bCs w:val="1"/>
          <w:color w:val="252525"/>
        </w:rPr>
        <w:t xml:space="preserve"> </w:t>
      </w:r>
      <w:r>
        <w:rPr>
          <w:rFonts w:ascii="Arial" w:cs="Arial" w:eastAsia="Arial" w:hAnsi="Arial"/>
          <w:sz w:val="24"/>
          <w:szCs w:val="24"/>
          <w:color w:val="252525"/>
        </w:rPr>
        <w:t>significa toda la población del país o región bajo análisis, sino sólo los potenciales compradores).</w:t>
      </w:r>
    </w:p>
    <w:p>
      <w:pPr>
        <w:spacing w:after="0" w:line="2" w:lineRule="exact"/>
        <w:rPr>
          <w:sz w:val="20"/>
          <w:szCs w:val="20"/>
          <w:color w:val="auto"/>
        </w:rPr>
      </w:pPr>
    </w:p>
    <w:p>
      <w:pPr>
        <w:jc w:val="both"/>
        <w:ind w:left="720" w:right="80"/>
        <w:spacing w:after="0" w:line="235" w:lineRule="auto"/>
        <w:rPr>
          <w:sz w:val="20"/>
          <w:szCs w:val="20"/>
          <w:color w:val="auto"/>
        </w:rPr>
      </w:pPr>
      <w:r>
        <w:rPr>
          <w:rFonts w:ascii="Arial" w:cs="Arial" w:eastAsia="Arial" w:hAnsi="Arial"/>
          <w:sz w:val="24"/>
          <w:szCs w:val="24"/>
          <w:b w:val="1"/>
          <w:bCs w:val="1"/>
          <w:color w:val="252525"/>
        </w:rPr>
        <w:t>p</w:t>
      </w:r>
      <w:r>
        <w:rPr>
          <w:rFonts w:ascii="Gautami" w:cs="Gautami" w:eastAsia="Gautami" w:hAnsi="Gautami"/>
          <w:sz w:val="24"/>
          <w:szCs w:val="24"/>
          <w:b w:val="1"/>
          <w:bCs w:val="1"/>
          <w:color w:val="252525"/>
        </w:rPr>
        <w:t>​</w:t>
      </w:r>
      <w:r>
        <w:rPr>
          <w:rFonts w:ascii="Arial" w:cs="Arial" w:eastAsia="Arial" w:hAnsi="Arial"/>
          <w:sz w:val="24"/>
          <w:szCs w:val="24"/>
          <w:color w:val="252525"/>
        </w:rPr>
        <w:t>: coeficiente de innovación. Es la probabilidad que un innovador compre o</w:t>
      </w:r>
      <w:r>
        <w:rPr>
          <w:rFonts w:ascii="Arial" w:cs="Arial" w:eastAsia="Arial" w:hAnsi="Arial"/>
          <w:sz w:val="24"/>
          <w:szCs w:val="24"/>
          <w:b w:val="1"/>
          <w:bCs w:val="1"/>
          <w:color w:val="252525"/>
        </w:rPr>
        <w:t xml:space="preserve"> </w:t>
      </w:r>
      <w:r>
        <w:rPr>
          <w:rFonts w:ascii="Arial" w:cs="Arial" w:eastAsia="Arial" w:hAnsi="Arial"/>
          <w:sz w:val="24"/>
          <w:szCs w:val="24"/>
          <w:color w:val="252525"/>
        </w:rPr>
        <w:t>adopte el producto en el período “t” (puede interpretarse como la tasa a la que un consumidor compra espontáneamente el producto).</w:t>
      </w:r>
    </w:p>
    <w:p>
      <w:pPr>
        <w:spacing w:after="0" w:line="2" w:lineRule="exact"/>
        <w:rPr>
          <w:sz w:val="20"/>
          <w:szCs w:val="20"/>
          <w:color w:val="auto"/>
        </w:rPr>
      </w:pPr>
    </w:p>
    <w:p>
      <w:pPr>
        <w:jc w:val="both"/>
        <w:ind w:left="720" w:right="60"/>
        <w:spacing w:after="0" w:line="261" w:lineRule="auto"/>
        <w:rPr>
          <w:sz w:val="20"/>
          <w:szCs w:val="20"/>
          <w:color w:val="auto"/>
        </w:rPr>
      </w:pPr>
      <w:r>
        <w:rPr>
          <w:rFonts w:ascii="Arial" w:cs="Arial" w:eastAsia="Arial" w:hAnsi="Arial"/>
          <w:sz w:val="24"/>
          <w:szCs w:val="24"/>
          <w:b w:val="1"/>
          <w:bCs w:val="1"/>
          <w:color w:val="252525"/>
        </w:rPr>
        <w:t>q</w:t>
      </w:r>
      <w:r>
        <w:rPr>
          <w:rFonts w:ascii="Gautami" w:cs="Gautami" w:eastAsia="Gautami" w:hAnsi="Gautami"/>
          <w:sz w:val="24"/>
          <w:szCs w:val="24"/>
          <w:b w:val="1"/>
          <w:bCs w:val="1"/>
          <w:color w:val="252525"/>
        </w:rPr>
        <w:t>​</w:t>
      </w:r>
      <w:r>
        <w:rPr>
          <w:rFonts w:ascii="Arial" w:cs="Arial" w:eastAsia="Arial" w:hAnsi="Arial"/>
          <w:sz w:val="24"/>
          <w:szCs w:val="24"/>
          <w:color w:val="252525"/>
        </w:rPr>
        <w:t>: coeficiente de imitación. Es la probabilidad que un imitador adopte el nuevo</w:t>
      </w:r>
      <w:r>
        <w:rPr>
          <w:rFonts w:ascii="Arial" w:cs="Arial" w:eastAsia="Arial" w:hAnsi="Arial"/>
          <w:sz w:val="24"/>
          <w:szCs w:val="24"/>
          <w:b w:val="1"/>
          <w:bCs w:val="1"/>
          <w:color w:val="252525"/>
        </w:rPr>
        <w:t xml:space="preserve"> </w:t>
      </w:r>
      <w:r>
        <w:rPr>
          <w:rFonts w:ascii="Arial" w:cs="Arial" w:eastAsia="Arial" w:hAnsi="Arial"/>
          <w:sz w:val="24"/>
          <w:szCs w:val="24"/>
          <w:color w:val="252525"/>
        </w:rPr>
        <w:t>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w:t>
      </w:r>
    </w:p>
    <w:p>
      <w:pPr>
        <w:sectPr>
          <w:pgSz w:w="12240" w:h="15840" w:orient="portrait"/>
          <w:cols w:equalWidth="0" w:num="1">
            <w:col w:w="9360"/>
          </w:cols>
          <w:pgMar w:left="1440" w:top="80" w:right="1440" w:bottom="513" w:gutter="0" w:footer="0" w:header="0"/>
        </w:sectPr>
      </w:pPr>
    </w:p>
    <w:p>
      <w:pPr>
        <w:spacing w:after="0" w:line="196"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5 de 6</w:t>
      </w:r>
    </w:p>
    <w:p>
      <w:pPr>
        <w:sectPr>
          <w:pgSz w:w="12240" w:h="15840" w:orient="portrait"/>
          <w:cols w:equalWidth="0" w:num="1">
            <w:col w:w="9360"/>
          </w:cols>
          <w:pgMar w:left="1440" w:top="80" w:right="1440" w:bottom="513"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22"/>
          <w:szCs w:val="22"/>
          <w:b w:val="1"/>
          <w:bCs w:val="1"/>
          <w:color w:val="252525"/>
        </w:rPr>
        <w:t>TP N° 4:</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“Adopción TIC”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20" w:right="100"/>
        <w:spacing w:after="0" w:line="328" w:lineRule="auto"/>
        <w:rPr>
          <w:sz w:val="20"/>
          <w:szCs w:val="20"/>
          <w:color w:val="auto"/>
        </w:rPr>
      </w:pPr>
      <w:r>
        <w:rPr>
          <w:rFonts w:ascii="Arial" w:cs="Arial" w:eastAsia="Arial" w:hAnsi="Arial"/>
          <w:sz w:val="24"/>
          <w:szCs w:val="24"/>
          <w:color w:val="252525"/>
        </w:rPr>
        <w:t>recibe el nombre de coeficiente de influencia interna, a diferencia de p que recibe el nombre de coeficiente de influencia externa.</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6 de 6</w:t>
      </w:r>
    </w:p>
    <w:sectPr>
      <w:pgSz w:w="12240" w:h="15840" w:orient="portrait"/>
      <w:cols w:equalWidth="0" w:num="1">
        <w:col w:w="9360"/>
      </w:cols>
      <w:pgMar w:left="1440" w:top="80" w:right="1440" w:bottom="5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lvl w:ilvl="1">
      <w:lvlJc w:val="left"/>
      <w:lvlText w:val="%2."/>
      <w:numFmt w:val="lowerLetter"/>
      <w:start w:val="1"/>
    </w:lvl>
  </w:abstractNum>
  <w:abstractNum w:abstractNumId="1">
    <w:nsid w:val="238E1F29"/>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2"/>
    </w:lvl>
    <w:lvl w:ilvl="3">
      <w:lvlJc w:val="left"/>
      <w:lvlText w:val="%4."/>
      <w:numFmt w:val="lowerRoman"/>
      <w:start w:val="1"/>
    </w:lvl>
  </w:abstractNum>
  <w:abstractNum w:abstractNumId="2">
    <w:nsid w:val="46E87CCD"/>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4."/>
      <w:numFmt w:val="lowerRoman"/>
      <w:start w:val="5"/>
    </w:lvl>
  </w:abstractNum>
  <w:abstractNum w:abstractNumId="3">
    <w:nsid w:val="3D1B58BA"/>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2"/>
    </w:lvl>
    <w:lvl w:ilvl="3">
      <w:lvlJc w:val="left"/>
      <w:lvlText w:val="%4."/>
      <w:numFmt w:val="lowerRoman"/>
      <w:start w:val="1"/>
    </w:lvl>
  </w:abstractNum>
  <w:abstractNum w:abstractNumId="4">
    <w:nsid w:val="507ED7AB"/>
    <w:multiLevelType w:val="hybridMultilevel"/>
    <w:lvl w:ilvl="0">
      <w:lvlJc w:val="left"/>
      <w:lvlText w:val="%1."/>
      <w:numFmt w:val="decimal"/>
      <w:start w:val="6"/>
    </w:lvl>
    <w:lvl w:ilvl="1">
      <w:lvlJc w:val="left"/>
      <w:lvlText w:val="%2."/>
      <w:numFmt w:val="lowerLetter"/>
      <w:start w:val="1"/>
    </w:lvl>
    <w:lvl w:ilvl="2">
      <w:lvlJc w:val="left"/>
      <w:lvlText w:val="%3"/>
      <w:numFmt w:val="lowerRoman"/>
      <w:start w:val="1"/>
    </w:lvl>
    <w:lvl w:ilvl="3">
      <w:lvlJc w:val="left"/>
      <w:lvlText w:val="%4"/>
      <w:numFmt w:val="lowerRoman"/>
      <w:start w:val="1"/>
    </w:lvl>
  </w:abstractNum>
  <w:abstractNum w:abstractNumId="5">
    <w:nsid w:val="2EB141F2"/>
    <w:multiLevelType w:val="hybridMultilevel"/>
    <w:lvl w:ilvl="0">
      <w:lvlJc w:val="left"/>
      <w:lvlText w:val="%1."/>
      <w:numFmt w:val="decimal"/>
      <w:start w:val="7"/>
    </w:lvl>
  </w:abstractNum>
  <w:abstractNum w:abstractNumId="6">
    <w:nsid w:val="41B71EFB"/>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2020-07-16T09:57:45Z</dcterms:created>
  <dcterms:modified xsi:type="dcterms:W3CDTF">2020-07-16T09:57:45Z</dcterms:modified>
</cp:coreProperties>
</file>