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60"/>
        <w:spacing w:after="0"/>
        <w:tabs>
          <w:tab w:leader="none" w:pos="4220" w:val="left"/>
          <w:tab w:leader="none" w:pos="8580" w:val="left"/>
        </w:tabs>
        <w:rPr>
          <w:sz w:val="20"/>
          <w:szCs w:val="20"/>
          <w:color w:val="auto"/>
        </w:rPr>
      </w:pPr>
      <w:r>
        <w:rPr>
          <w:rFonts w:ascii="Arial" w:cs="Arial" w:eastAsia="Arial" w:hAnsi="Arial"/>
          <w:sz w:val="24"/>
          <w:szCs w:val="24"/>
          <w:color w:val="auto"/>
        </w:rPr>
        <w:t>SAS, MATIAS NAHUEL</w:t>
      </w:r>
      <w:r>
        <w:rPr>
          <w:sz w:val="20"/>
          <w:szCs w:val="20"/>
          <w:color w:val="auto"/>
        </w:rPr>
        <w:tab/>
      </w:r>
      <w:r>
        <w:rPr>
          <w:rFonts w:ascii="Arial" w:cs="Arial" w:eastAsia="Arial" w:hAnsi="Arial"/>
          <w:sz w:val="24"/>
          <w:szCs w:val="24"/>
          <w:color w:val="auto"/>
        </w:rPr>
        <w:t>146.566-1</w:t>
      </w:r>
      <w:r>
        <w:rPr>
          <w:sz w:val="20"/>
          <w:szCs w:val="20"/>
          <w:color w:val="auto"/>
        </w:rPr>
        <w:tab/>
      </w:r>
      <w:r>
        <w:rPr>
          <w:rFonts w:ascii="Arial" w:cs="Arial" w:eastAsia="Arial" w:hAnsi="Arial"/>
          <w:sz w:val="23"/>
          <w:szCs w:val="23"/>
          <w:color w:val="auto"/>
        </w:rPr>
        <w:t>UTN</w:t>
      </w:r>
    </w:p>
    <w:p>
      <w:pPr>
        <w:spacing w:after="0" w:line="200" w:lineRule="exact"/>
        <w:rPr>
          <w:sz w:val="24"/>
          <w:szCs w:val="24"/>
          <w:color w:val="auto"/>
        </w:rPr>
      </w:pPr>
    </w:p>
    <w:p>
      <w:pPr>
        <w:spacing w:after="0" w:line="238" w:lineRule="exact"/>
        <w:rPr>
          <w:sz w:val="24"/>
          <w:szCs w:val="24"/>
          <w:color w:val="auto"/>
        </w:rPr>
      </w:pPr>
    </w:p>
    <w:p>
      <w:pPr>
        <w:ind w:left="260"/>
        <w:spacing w:after="0"/>
        <w:rPr>
          <w:sz w:val="20"/>
          <w:szCs w:val="20"/>
          <w:color w:val="auto"/>
        </w:rPr>
      </w:pPr>
      <w:r>
        <w:rPr>
          <w:rFonts w:ascii="Trebuchet MS" w:cs="Trebuchet MS" w:eastAsia="Trebuchet MS" w:hAnsi="Trebuchet MS"/>
          <w:sz w:val="22"/>
          <w:szCs w:val="22"/>
          <w:b w:val="1"/>
          <w:bCs w:val="1"/>
          <w:color w:val="auto"/>
        </w:rPr>
        <w:t>PREGUNTAS TP - (Test de lectura sobre capítulos 1 y 5)</w:t>
      </w:r>
    </w:p>
    <w:p>
      <w:pPr>
        <w:spacing w:after="0" w:line="225" w:lineRule="exact"/>
        <w:rPr>
          <w:sz w:val="24"/>
          <w:szCs w:val="24"/>
          <w:color w:val="auto"/>
        </w:rPr>
      </w:pPr>
    </w:p>
    <w:p>
      <w:pPr>
        <w:ind w:left="260"/>
        <w:spacing w:after="0"/>
        <w:rPr>
          <w:sz w:val="20"/>
          <w:szCs w:val="20"/>
          <w:color w:val="auto"/>
        </w:rPr>
      </w:pPr>
      <w:r>
        <w:rPr>
          <w:rFonts w:ascii="Trebuchet MS" w:cs="Trebuchet MS" w:eastAsia="Trebuchet MS" w:hAnsi="Trebuchet MS"/>
          <w:sz w:val="22"/>
          <w:szCs w:val="22"/>
          <w:b w:val="1"/>
          <w:bCs w:val="1"/>
          <w:color w:val="auto"/>
        </w:rPr>
        <w:t>La sociedad de costo marginal cero;  Jeremy Rifkin</w:t>
      </w:r>
    </w:p>
    <w:p>
      <w:pPr>
        <w:spacing w:after="0" w:line="233" w:lineRule="exact"/>
        <w:rPr>
          <w:sz w:val="24"/>
          <w:szCs w:val="24"/>
          <w:color w:val="auto"/>
        </w:rPr>
      </w:pPr>
    </w:p>
    <w:p>
      <w:pPr>
        <w:ind w:left="980" w:right="660" w:hanging="360"/>
        <w:spacing w:after="0" w:line="269" w:lineRule="auto"/>
        <w:tabs>
          <w:tab w:leader="none" w:pos="980" w:val="left"/>
        </w:tabs>
        <w:numPr>
          <w:ilvl w:val="0"/>
          <w:numId w:val="1"/>
        </w:numPr>
        <w:rPr>
          <w:rFonts w:ascii="Trebuchet MS" w:cs="Trebuchet MS" w:eastAsia="Trebuchet MS" w:hAnsi="Trebuchet MS"/>
          <w:sz w:val="22"/>
          <w:szCs w:val="22"/>
          <w:color w:val="auto"/>
        </w:rPr>
      </w:pPr>
      <w:r>
        <w:rPr>
          <w:rFonts w:ascii="Trebuchet MS" w:cs="Trebuchet MS" w:eastAsia="Trebuchet MS" w:hAnsi="Trebuchet MS"/>
          <w:sz w:val="22"/>
          <w:szCs w:val="22"/>
          <w:color w:val="auto"/>
        </w:rPr>
        <w:t>Puede describir el vínculo entre las leyes de la termodinámica de Newton y la “factura entrópica”.</w:t>
      </w:r>
    </w:p>
    <w:p>
      <w:pPr>
        <w:spacing w:after="0" w:line="187" w:lineRule="exact"/>
        <w:rPr>
          <w:sz w:val="24"/>
          <w:szCs w:val="24"/>
          <w:color w:val="auto"/>
        </w:rPr>
      </w:pPr>
    </w:p>
    <w:p>
      <w:pPr>
        <w:jc w:val="both"/>
        <w:ind w:left="260" w:right="260" w:firstLine="708"/>
        <w:spacing w:after="0" w:line="258" w:lineRule="auto"/>
        <w:rPr>
          <w:sz w:val="20"/>
          <w:szCs w:val="20"/>
          <w:color w:val="auto"/>
        </w:rPr>
      </w:pPr>
      <w:r>
        <w:rPr>
          <w:rFonts w:ascii="Trebuchet MS" w:cs="Trebuchet MS" w:eastAsia="Trebuchet MS" w:hAnsi="Trebuchet MS"/>
          <w:sz w:val="22"/>
          <w:szCs w:val="22"/>
          <w:color w:val="auto"/>
        </w:rPr>
        <w:t>Las leyes de Newton plantean que la energía total es invariable y constante, mientras que la entropía está en constante crecimiento. Si utilizamos estos conceptos en la economía, podemos pensar que para producir un producto utilizamos otros, los transformamos, pero siempre en base a “partes” ya existentes, por lo que se ve una directa similitud con la energía, mientras que al realizarse cambios tecnológicos, los usuarios reemplazan sus productos con otros que resuelven sus necesidades de un mejor modo, desechando los anteriores y retornando al sistema como entropía, constantemente creciente y cada vez a mayor ritmo.</w:t>
      </w:r>
    </w:p>
    <w:p>
      <w:pPr>
        <w:spacing w:after="0" w:line="203" w:lineRule="exact"/>
        <w:rPr>
          <w:sz w:val="24"/>
          <w:szCs w:val="24"/>
          <w:color w:val="auto"/>
        </w:rPr>
      </w:pPr>
    </w:p>
    <w:p>
      <w:pPr>
        <w:ind w:left="980" w:right="440" w:hanging="360"/>
        <w:spacing w:after="0" w:line="266" w:lineRule="auto"/>
        <w:tabs>
          <w:tab w:leader="none" w:pos="980" w:val="left"/>
        </w:tabs>
        <w:numPr>
          <w:ilvl w:val="0"/>
          <w:numId w:val="2"/>
        </w:numPr>
        <w:rPr>
          <w:rFonts w:ascii="Trebuchet MS" w:cs="Trebuchet MS" w:eastAsia="Trebuchet MS" w:hAnsi="Trebuchet MS"/>
          <w:sz w:val="22"/>
          <w:szCs w:val="22"/>
          <w:color w:val="auto"/>
        </w:rPr>
      </w:pPr>
      <w:r>
        <w:rPr>
          <w:rFonts w:ascii="Trebuchet MS" w:cs="Trebuchet MS" w:eastAsia="Trebuchet MS" w:hAnsi="Trebuchet MS"/>
          <w:sz w:val="22"/>
          <w:szCs w:val="22"/>
          <w:color w:val="auto"/>
        </w:rPr>
        <w:t>Podría caracterizar la Primera y Segunda revolución industrial al decir de Rifkin? Qué inventos son las metáforas de cada infraestructura en cada una de esas etapas.</w:t>
      </w:r>
    </w:p>
    <w:p>
      <w:pPr>
        <w:spacing w:after="0" w:line="171" w:lineRule="exact"/>
        <w:rPr>
          <w:sz w:val="24"/>
          <w:szCs w:val="24"/>
          <w:color w:val="auto"/>
        </w:rPr>
      </w:pPr>
    </w:p>
    <w:p>
      <w:pPr>
        <w:jc w:val="both"/>
        <w:ind w:left="260" w:right="260" w:firstLine="708"/>
        <w:spacing w:after="0" w:line="261" w:lineRule="auto"/>
        <w:rPr>
          <w:sz w:val="20"/>
          <w:szCs w:val="20"/>
          <w:color w:val="auto"/>
        </w:rPr>
      </w:pPr>
      <w:r>
        <w:rPr>
          <w:rFonts w:ascii="Trebuchet MS" w:cs="Trebuchet MS" w:eastAsia="Trebuchet MS" w:hAnsi="Trebuchet MS"/>
          <w:sz w:val="22"/>
          <w:szCs w:val="22"/>
          <w:color w:val="auto"/>
        </w:rPr>
        <w:t>Rifkin plantea la primera revolución industrial como la transformación de un sistema de producción casero a uno industrial, de producción masificada. Pasando de una estructura de familia o pequeña a una gran estructura empresarial burocrática. También sostiene que la segunda revolución industrial se caracteriza por un tipo de organización igual al de la primera, es decir burocrático piramidal, con una cadena de mando muy marcada y vertical. Podemos ver los siguientes inventos como referentes claros de las revoluciones: la máquina a vapor y la radio.</w:t>
      </w:r>
    </w:p>
    <w:p>
      <w:pPr>
        <w:spacing w:after="0" w:line="195" w:lineRule="exact"/>
        <w:rPr>
          <w:sz w:val="24"/>
          <w:szCs w:val="24"/>
          <w:color w:val="auto"/>
        </w:rPr>
      </w:pPr>
    </w:p>
    <w:p>
      <w:pPr>
        <w:ind w:left="980" w:right="400" w:hanging="360"/>
        <w:spacing w:after="0" w:line="269" w:lineRule="auto"/>
        <w:tabs>
          <w:tab w:leader="none" w:pos="980" w:val="left"/>
        </w:tabs>
        <w:numPr>
          <w:ilvl w:val="0"/>
          <w:numId w:val="3"/>
        </w:numPr>
        <w:rPr>
          <w:rFonts w:ascii="Trebuchet MS" w:cs="Trebuchet MS" w:eastAsia="Trebuchet MS" w:hAnsi="Trebuchet MS"/>
          <w:sz w:val="22"/>
          <w:szCs w:val="22"/>
          <w:color w:val="auto"/>
        </w:rPr>
      </w:pPr>
      <w:r>
        <w:rPr>
          <w:rFonts w:ascii="Trebuchet MS" w:cs="Trebuchet MS" w:eastAsia="Trebuchet MS" w:hAnsi="Trebuchet MS"/>
          <w:sz w:val="22"/>
          <w:szCs w:val="22"/>
          <w:color w:val="auto"/>
        </w:rPr>
        <w:t>Qué dice Rifkin que la “internet de las cosas IOT” le aportará a la 3ra revolución industrial?</w:t>
      </w:r>
    </w:p>
    <w:p>
      <w:pPr>
        <w:spacing w:after="0" w:line="187" w:lineRule="exact"/>
        <w:rPr>
          <w:sz w:val="24"/>
          <w:szCs w:val="24"/>
          <w:color w:val="auto"/>
        </w:rPr>
      </w:pPr>
    </w:p>
    <w:p>
      <w:pPr>
        <w:jc w:val="both"/>
        <w:ind w:left="260" w:right="260" w:firstLine="708"/>
        <w:spacing w:after="0" w:line="259" w:lineRule="auto"/>
        <w:rPr>
          <w:sz w:val="20"/>
          <w:szCs w:val="20"/>
          <w:color w:val="auto"/>
        </w:rPr>
      </w:pPr>
      <w:r>
        <w:rPr>
          <w:rFonts w:ascii="Trebuchet MS" w:cs="Trebuchet MS" w:eastAsia="Trebuchet MS" w:hAnsi="Trebuchet MS"/>
          <w:sz w:val="22"/>
          <w:szCs w:val="22"/>
          <w:color w:val="auto"/>
        </w:rPr>
        <w:t>Rifkin plantea que el internet de las cosas le aportará a la 3er revolución industrial un modo de contener en un sólo producto o servicio la comunicación, lógistica y energía, tanto con el usuario final como entre los productos en sí, optimizando cada proceso al máximo, con un costo marginal tendiente a cero.</w:t>
      </w:r>
    </w:p>
    <w:p>
      <w:pPr>
        <w:spacing w:after="0" w:line="197" w:lineRule="exact"/>
        <w:rPr>
          <w:sz w:val="24"/>
          <w:szCs w:val="24"/>
          <w:color w:val="auto"/>
        </w:rPr>
      </w:pPr>
    </w:p>
    <w:p>
      <w:pPr>
        <w:ind w:left="620"/>
        <w:spacing w:after="0"/>
        <w:tabs>
          <w:tab w:leader="none" w:pos="960" w:val="left"/>
        </w:tabs>
        <w:rPr>
          <w:sz w:val="20"/>
          <w:szCs w:val="20"/>
          <w:color w:val="auto"/>
        </w:rPr>
      </w:pPr>
      <w:r>
        <w:rPr>
          <w:rFonts w:ascii="Trebuchet MS" w:cs="Trebuchet MS" w:eastAsia="Trebuchet MS" w:hAnsi="Trebuchet MS"/>
          <w:sz w:val="22"/>
          <w:szCs w:val="22"/>
          <w:color w:val="auto"/>
        </w:rPr>
        <w:t>4.</w:t>
      </w:r>
      <w:r>
        <w:rPr>
          <w:sz w:val="20"/>
          <w:szCs w:val="20"/>
          <w:color w:val="auto"/>
        </w:rPr>
        <w:tab/>
      </w:r>
      <w:r>
        <w:rPr>
          <w:rFonts w:ascii="Trebuchet MS" w:cs="Trebuchet MS" w:eastAsia="Trebuchet MS" w:hAnsi="Trebuchet MS"/>
          <w:sz w:val="21"/>
          <w:szCs w:val="21"/>
          <w:color w:val="auto"/>
        </w:rPr>
        <w:t>Qué entiende Rifkin por una producción abierta, distribuida y colaborativa?</w:t>
      </w:r>
    </w:p>
    <w:p>
      <w:pPr>
        <w:spacing w:after="0" w:line="225" w:lineRule="exact"/>
        <w:rPr>
          <w:sz w:val="24"/>
          <w:szCs w:val="24"/>
          <w:color w:val="auto"/>
        </w:rPr>
      </w:pPr>
    </w:p>
    <w:p>
      <w:pPr>
        <w:ind w:left="260" w:right="400" w:firstLine="708"/>
        <w:spacing w:after="0" w:line="275" w:lineRule="auto"/>
        <w:rPr>
          <w:sz w:val="20"/>
          <w:szCs w:val="20"/>
          <w:color w:val="auto"/>
        </w:rPr>
      </w:pPr>
      <w:r>
        <w:rPr>
          <w:rFonts w:ascii="Trebuchet MS" w:cs="Trebuchet MS" w:eastAsia="Trebuchet MS" w:hAnsi="Trebuchet MS"/>
          <w:sz w:val="21"/>
          <w:szCs w:val="21"/>
          <w:color w:val="auto"/>
        </w:rPr>
        <w:t>Rifkin entiende por producción abierta, distribuida y colaborativa a cualquiera que logre que cualquier persona fabrique lo que necesita y comparta con el resto, no sólo el bien físico o servicio que produjo, sino la inteligencia y procesos que utilizó para producirlos, y de ése modo llevando el costo marginal del producto a tender a cero.</w:t>
      </w:r>
    </w:p>
    <w:p>
      <w:pPr>
        <w:spacing w:after="0" w:line="182" w:lineRule="exact"/>
        <w:rPr>
          <w:sz w:val="24"/>
          <w:szCs w:val="24"/>
          <w:color w:val="auto"/>
        </w:rPr>
      </w:pPr>
    </w:p>
    <w:p>
      <w:pPr>
        <w:ind w:left="980" w:right="480" w:hanging="360"/>
        <w:spacing w:after="0" w:line="269" w:lineRule="auto"/>
        <w:tabs>
          <w:tab w:leader="none" w:pos="980" w:val="left"/>
        </w:tabs>
        <w:numPr>
          <w:ilvl w:val="0"/>
          <w:numId w:val="4"/>
        </w:numPr>
        <w:rPr>
          <w:rFonts w:ascii="Trebuchet MS" w:cs="Trebuchet MS" w:eastAsia="Trebuchet MS" w:hAnsi="Trebuchet MS"/>
          <w:sz w:val="22"/>
          <w:szCs w:val="22"/>
          <w:color w:val="auto"/>
        </w:rPr>
      </w:pPr>
      <w:r>
        <w:rPr>
          <w:rFonts w:ascii="Trebuchet MS" w:cs="Trebuchet MS" w:eastAsia="Trebuchet MS" w:hAnsi="Trebuchet MS"/>
          <w:sz w:val="22"/>
          <w:szCs w:val="22"/>
          <w:color w:val="auto"/>
        </w:rPr>
        <w:t>Qué ejemplos actuales de “procomunes” se le ocurren? Describa. Qué límites le ve Ud. a los procomunes como forma de producción?</w:t>
      </w:r>
    </w:p>
    <w:p>
      <w:pPr>
        <w:spacing w:after="0" w:line="167" w:lineRule="exact"/>
        <w:rPr>
          <w:sz w:val="24"/>
          <w:szCs w:val="24"/>
          <w:color w:val="auto"/>
        </w:rPr>
      </w:pPr>
    </w:p>
    <w:p>
      <w:pPr>
        <w:ind w:left="260" w:right="300" w:firstLine="708"/>
        <w:spacing w:after="0" w:line="281" w:lineRule="auto"/>
        <w:rPr>
          <w:sz w:val="20"/>
          <w:szCs w:val="20"/>
          <w:color w:val="auto"/>
        </w:rPr>
      </w:pPr>
      <w:r>
        <w:rPr>
          <w:rFonts w:ascii="Trebuchet MS" w:cs="Trebuchet MS" w:eastAsia="Trebuchet MS" w:hAnsi="Trebuchet MS"/>
          <w:sz w:val="21"/>
          <w:szCs w:val="21"/>
          <w:color w:val="auto"/>
        </w:rPr>
        <w:t>Un ejemplo actual de procomunes puede ser youtube, en el cual el “producto” es videos subidos por otros usuarios de la plataforma y uno mismo, es decir que cada usuario es productor y consumidor de lo que cada usuario produce. El límite que encuentro es que no lo creo aplicable a todos los campos, es decir, creo que para ciertos</w:t>
      </w:r>
    </w:p>
    <w:p>
      <w:pPr>
        <w:sectPr>
          <w:pgSz w:w="12240" w:h="15840" w:orient="portrait"/>
          <w:cols w:equalWidth="0" w:num="1">
            <w:col w:w="9360"/>
          </w:cols>
          <w:pgMar w:left="1440" w:top="671" w:right="1440" w:bottom="880" w:gutter="0" w:footer="0" w:header="0"/>
        </w:sectPr>
      </w:pPr>
    </w:p>
    <w:bookmarkStart w:id="1" w:name="page2"/>
    <w:bookmarkEnd w:id="1"/>
    <w:p>
      <w:pPr>
        <w:ind w:left="260"/>
        <w:spacing w:after="0"/>
        <w:tabs>
          <w:tab w:leader="none" w:pos="4220" w:val="left"/>
          <w:tab w:leader="none" w:pos="8580" w:val="left"/>
        </w:tabs>
        <w:rPr>
          <w:sz w:val="20"/>
          <w:szCs w:val="20"/>
          <w:color w:val="auto"/>
        </w:rPr>
      </w:pPr>
      <w:r>
        <w:rPr>
          <w:rFonts w:ascii="Arial" w:cs="Arial" w:eastAsia="Arial" w:hAnsi="Arial"/>
          <w:sz w:val="24"/>
          <w:szCs w:val="24"/>
          <w:color w:val="auto"/>
        </w:rPr>
        <w:t>SAS, MATIAS NAHUEL</w:t>
      </w:r>
      <w:r>
        <w:rPr>
          <w:sz w:val="20"/>
          <w:szCs w:val="20"/>
          <w:color w:val="auto"/>
        </w:rPr>
        <w:tab/>
      </w:r>
      <w:r>
        <w:rPr>
          <w:rFonts w:ascii="Arial" w:cs="Arial" w:eastAsia="Arial" w:hAnsi="Arial"/>
          <w:sz w:val="24"/>
          <w:szCs w:val="24"/>
          <w:color w:val="auto"/>
        </w:rPr>
        <w:t>146.566-1</w:t>
      </w:r>
      <w:r>
        <w:rPr>
          <w:sz w:val="20"/>
          <w:szCs w:val="20"/>
          <w:color w:val="auto"/>
        </w:rPr>
        <w:tab/>
      </w:r>
      <w:r>
        <w:rPr>
          <w:rFonts w:ascii="Arial" w:cs="Arial" w:eastAsia="Arial" w:hAnsi="Arial"/>
          <w:sz w:val="23"/>
          <w:szCs w:val="23"/>
          <w:color w:val="auto"/>
        </w:rPr>
        <w:t>UTN</w:t>
      </w:r>
    </w:p>
    <w:p>
      <w:pPr>
        <w:spacing w:after="0" w:line="200" w:lineRule="exact"/>
        <w:rPr>
          <w:sz w:val="20"/>
          <w:szCs w:val="20"/>
          <w:color w:val="auto"/>
        </w:rPr>
      </w:pPr>
    </w:p>
    <w:p>
      <w:pPr>
        <w:spacing w:after="0" w:line="246" w:lineRule="exact"/>
        <w:rPr>
          <w:sz w:val="20"/>
          <w:szCs w:val="20"/>
          <w:color w:val="auto"/>
        </w:rPr>
      </w:pPr>
    </w:p>
    <w:p>
      <w:pPr>
        <w:ind w:left="260" w:right="440"/>
        <w:spacing w:after="0" w:line="269" w:lineRule="auto"/>
        <w:rPr>
          <w:sz w:val="20"/>
          <w:szCs w:val="20"/>
          <w:color w:val="auto"/>
        </w:rPr>
      </w:pPr>
      <w:r>
        <w:rPr>
          <w:rFonts w:ascii="Trebuchet MS" w:cs="Trebuchet MS" w:eastAsia="Trebuchet MS" w:hAnsi="Trebuchet MS"/>
          <w:sz w:val="22"/>
          <w:szCs w:val="22"/>
          <w:color w:val="auto"/>
        </w:rPr>
        <w:t>sectores de conocimiento más específico o para investigaciones científicas es necesario otro tipo de esquema de producción.</w:t>
      </w:r>
    </w:p>
    <w:p>
      <w:pPr>
        <w:spacing w:after="0" w:line="187" w:lineRule="exact"/>
        <w:rPr>
          <w:sz w:val="20"/>
          <w:szCs w:val="20"/>
          <w:color w:val="auto"/>
        </w:rPr>
      </w:pPr>
    </w:p>
    <w:p>
      <w:pPr>
        <w:ind w:left="980" w:right="420" w:hanging="360"/>
        <w:spacing w:after="0" w:line="266" w:lineRule="auto"/>
        <w:tabs>
          <w:tab w:leader="none" w:pos="980" w:val="left"/>
        </w:tabs>
        <w:numPr>
          <w:ilvl w:val="0"/>
          <w:numId w:val="5"/>
        </w:numPr>
        <w:rPr>
          <w:rFonts w:ascii="Trebuchet MS" w:cs="Trebuchet MS" w:eastAsia="Trebuchet MS" w:hAnsi="Trebuchet MS"/>
          <w:sz w:val="22"/>
          <w:szCs w:val="22"/>
          <w:color w:val="auto"/>
        </w:rPr>
      </w:pPr>
      <w:r>
        <w:rPr>
          <w:rFonts w:ascii="Trebuchet MS" w:cs="Trebuchet MS" w:eastAsia="Trebuchet MS" w:hAnsi="Trebuchet MS"/>
          <w:sz w:val="22"/>
          <w:szCs w:val="22"/>
          <w:color w:val="auto"/>
        </w:rPr>
        <w:t>A la sociedad /economía del conocimiento, entendida como la 3ra revolución de Rifkin, cuál de las infraestructuras claves estaría más demorada y por qué? qué estaría faltando?</w:t>
      </w:r>
    </w:p>
    <w:p>
      <w:pPr>
        <w:spacing w:after="0" w:line="171" w:lineRule="exact"/>
        <w:rPr>
          <w:sz w:val="20"/>
          <w:szCs w:val="20"/>
          <w:color w:val="auto"/>
        </w:rPr>
      </w:pPr>
    </w:p>
    <w:p>
      <w:pPr>
        <w:ind w:left="260" w:right="400" w:firstLine="708"/>
        <w:spacing w:after="0" w:line="261" w:lineRule="auto"/>
        <w:rPr>
          <w:sz w:val="20"/>
          <w:szCs w:val="20"/>
          <w:color w:val="auto"/>
        </w:rPr>
      </w:pPr>
      <w:r>
        <w:rPr>
          <w:rFonts w:ascii="Trebuchet MS" w:cs="Trebuchet MS" w:eastAsia="Trebuchet MS" w:hAnsi="Trebuchet MS"/>
          <w:sz w:val="22"/>
          <w:szCs w:val="22"/>
          <w:color w:val="auto"/>
        </w:rPr>
        <w:t>La infraestructura clave que más está demorada para la 3er revolución industrial es la de la energía obtenida mediante fuentes renovables, debido a todo el dinero que hay en juego entre empresas petroleras que no se dejarán desplazar del mercado fácilmente. Estaría faltando un cambio de conciencia tanto en los usuarios finales como en los empresarios, para que estos comprendan los grandes beneficios de la energía renovable y los grandes problemas que traerá a futuro seguir con las prácticas energéticas que la mayoría aún utilizan.</w:t>
      </w:r>
    </w:p>
    <w:p>
      <w:pPr>
        <w:spacing w:after="0" w:line="195" w:lineRule="exact"/>
        <w:rPr>
          <w:sz w:val="20"/>
          <w:szCs w:val="20"/>
          <w:color w:val="auto"/>
        </w:rPr>
      </w:pPr>
    </w:p>
    <w:p>
      <w:pPr>
        <w:ind w:left="980" w:right="1300" w:hanging="360"/>
        <w:spacing w:after="0" w:line="269" w:lineRule="auto"/>
        <w:tabs>
          <w:tab w:leader="none" w:pos="980" w:val="left"/>
        </w:tabs>
        <w:numPr>
          <w:ilvl w:val="0"/>
          <w:numId w:val="6"/>
        </w:numPr>
        <w:rPr>
          <w:rFonts w:ascii="Trebuchet MS" w:cs="Trebuchet MS" w:eastAsia="Trebuchet MS" w:hAnsi="Trebuchet MS"/>
          <w:sz w:val="22"/>
          <w:szCs w:val="22"/>
          <w:color w:val="auto"/>
        </w:rPr>
      </w:pPr>
      <w:r>
        <w:rPr>
          <w:rFonts w:ascii="Trebuchet MS" w:cs="Trebuchet MS" w:eastAsia="Trebuchet MS" w:hAnsi="Trebuchet MS"/>
          <w:sz w:val="22"/>
          <w:szCs w:val="22"/>
          <w:color w:val="auto"/>
        </w:rPr>
        <w:t>Cómo funcionaría (o se garantizaría) la ”innovación” bajo el procomún, comparado con el sistema capitalista?</w:t>
      </w:r>
    </w:p>
    <w:p>
      <w:pPr>
        <w:spacing w:after="0" w:line="187" w:lineRule="exact"/>
        <w:rPr>
          <w:sz w:val="20"/>
          <w:szCs w:val="20"/>
          <w:color w:val="auto"/>
        </w:rPr>
      </w:pPr>
    </w:p>
    <w:p>
      <w:pPr>
        <w:ind w:left="260" w:right="280" w:firstLine="708"/>
        <w:spacing w:after="0" w:line="259" w:lineRule="auto"/>
        <w:rPr>
          <w:sz w:val="20"/>
          <w:szCs w:val="20"/>
          <w:color w:val="auto"/>
        </w:rPr>
      </w:pPr>
      <w:r>
        <w:rPr>
          <w:rFonts w:ascii="Trebuchet MS" w:cs="Trebuchet MS" w:eastAsia="Trebuchet MS" w:hAnsi="Trebuchet MS"/>
          <w:sz w:val="22"/>
          <w:szCs w:val="22"/>
          <w:color w:val="auto"/>
        </w:rPr>
        <w:t>Bajo el procomún se garantiza la innovación mediante una recompensa personal a nivel status o satisfacción, sin buscar un retorno económico, se busca un retorno que ponga a la persona en un lugar de mayor satisfacción personal y sea mejor vista por el común de la sociedad.</w:t>
      </w:r>
    </w:p>
    <w:p>
      <w:pPr>
        <w:spacing w:after="0" w:line="197" w:lineRule="exact"/>
        <w:rPr>
          <w:sz w:val="20"/>
          <w:szCs w:val="20"/>
          <w:color w:val="auto"/>
        </w:rPr>
      </w:pPr>
    </w:p>
    <w:p>
      <w:pPr>
        <w:ind w:left="980" w:right="700" w:hanging="360"/>
        <w:spacing w:after="0" w:line="269" w:lineRule="auto"/>
        <w:tabs>
          <w:tab w:leader="none" w:pos="980" w:val="left"/>
        </w:tabs>
        <w:numPr>
          <w:ilvl w:val="0"/>
          <w:numId w:val="7"/>
        </w:numPr>
        <w:rPr>
          <w:rFonts w:ascii="Trebuchet MS" w:cs="Trebuchet MS" w:eastAsia="Trebuchet MS" w:hAnsi="Trebuchet MS"/>
          <w:sz w:val="22"/>
          <w:szCs w:val="22"/>
          <w:color w:val="auto"/>
        </w:rPr>
      </w:pPr>
      <w:r>
        <w:rPr>
          <w:rFonts w:ascii="Trebuchet MS" w:cs="Trebuchet MS" w:eastAsia="Trebuchet MS" w:hAnsi="Trebuchet MS"/>
          <w:sz w:val="22"/>
          <w:szCs w:val="22"/>
          <w:color w:val="auto"/>
        </w:rPr>
        <w:t>Acorde su lectura de Rifkin y las clases de Prince, para el estadío actual de la economía, elija uno de estos “apellidos” y justifique brevemente.</w:t>
      </w:r>
    </w:p>
    <w:p>
      <w:pPr>
        <w:spacing w:after="0" w:line="167" w:lineRule="exact"/>
        <w:rPr>
          <w:rFonts w:ascii="Trebuchet MS" w:cs="Trebuchet MS" w:eastAsia="Trebuchet MS" w:hAnsi="Trebuchet MS"/>
          <w:sz w:val="22"/>
          <w:szCs w:val="22"/>
          <w:color w:val="auto"/>
        </w:rPr>
      </w:pPr>
    </w:p>
    <w:p>
      <w:pPr>
        <w:ind w:left="980"/>
        <w:spacing w:after="0"/>
        <w:rPr>
          <w:rFonts w:ascii="Trebuchet MS" w:cs="Trebuchet MS" w:eastAsia="Trebuchet MS" w:hAnsi="Trebuchet MS"/>
          <w:sz w:val="22"/>
          <w:szCs w:val="22"/>
          <w:color w:val="auto"/>
        </w:rPr>
      </w:pPr>
      <w:r>
        <w:rPr>
          <w:rFonts w:ascii="Trebuchet MS" w:cs="Trebuchet MS" w:eastAsia="Trebuchet MS" w:hAnsi="Trebuchet MS"/>
          <w:sz w:val="22"/>
          <w:szCs w:val="22"/>
          <w:color w:val="auto"/>
        </w:rPr>
        <w:t>E. colaborativa</w:t>
      </w:r>
    </w:p>
    <w:p>
      <w:pPr>
        <w:spacing w:after="0" w:line="225" w:lineRule="exact"/>
        <w:rPr>
          <w:sz w:val="20"/>
          <w:szCs w:val="20"/>
          <w:color w:val="auto"/>
        </w:rPr>
      </w:pPr>
    </w:p>
    <w:p>
      <w:pPr>
        <w:ind w:left="980"/>
        <w:spacing w:after="0"/>
        <w:rPr>
          <w:sz w:val="20"/>
          <w:szCs w:val="20"/>
          <w:color w:val="auto"/>
        </w:rPr>
      </w:pPr>
      <w:r>
        <w:rPr>
          <w:rFonts w:ascii="Trebuchet MS" w:cs="Trebuchet MS" w:eastAsia="Trebuchet MS" w:hAnsi="Trebuchet MS"/>
          <w:sz w:val="22"/>
          <w:szCs w:val="22"/>
          <w:color w:val="auto"/>
        </w:rPr>
        <w:t>E. de la Información</w:t>
      </w:r>
    </w:p>
    <w:p>
      <w:pPr>
        <w:spacing w:after="0" w:line="225" w:lineRule="exact"/>
        <w:rPr>
          <w:sz w:val="20"/>
          <w:szCs w:val="20"/>
          <w:color w:val="auto"/>
        </w:rPr>
      </w:pPr>
    </w:p>
    <w:p>
      <w:pPr>
        <w:ind w:left="980"/>
        <w:spacing w:after="0"/>
        <w:rPr>
          <w:sz w:val="20"/>
          <w:szCs w:val="20"/>
          <w:color w:val="auto"/>
        </w:rPr>
      </w:pPr>
      <w:r>
        <w:rPr>
          <w:rFonts w:ascii="Trebuchet MS" w:cs="Trebuchet MS" w:eastAsia="Trebuchet MS" w:hAnsi="Trebuchet MS"/>
          <w:sz w:val="22"/>
          <w:szCs w:val="22"/>
          <w:color w:val="auto"/>
        </w:rPr>
        <w:t>E. del Conocimiento</w:t>
      </w:r>
    </w:p>
    <w:p>
      <w:pPr>
        <w:spacing w:after="0" w:line="225" w:lineRule="exact"/>
        <w:rPr>
          <w:sz w:val="20"/>
          <w:szCs w:val="20"/>
          <w:color w:val="auto"/>
        </w:rPr>
      </w:pPr>
    </w:p>
    <w:p>
      <w:pPr>
        <w:ind w:left="980"/>
        <w:spacing w:after="0"/>
        <w:rPr>
          <w:sz w:val="20"/>
          <w:szCs w:val="20"/>
          <w:color w:val="auto"/>
        </w:rPr>
      </w:pPr>
      <w:r>
        <w:rPr>
          <w:rFonts w:ascii="Trebuchet MS" w:cs="Trebuchet MS" w:eastAsia="Trebuchet MS" w:hAnsi="Trebuchet MS"/>
          <w:sz w:val="22"/>
          <w:szCs w:val="22"/>
          <w:color w:val="auto"/>
        </w:rPr>
        <w:t>E. Digital</w:t>
      </w:r>
    </w:p>
    <w:p>
      <w:pPr>
        <w:spacing w:after="0" w:line="225" w:lineRule="exact"/>
        <w:rPr>
          <w:sz w:val="20"/>
          <w:szCs w:val="20"/>
          <w:color w:val="auto"/>
        </w:rPr>
      </w:pPr>
    </w:p>
    <w:p>
      <w:pPr>
        <w:ind w:left="980"/>
        <w:spacing w:after="0"/>
        <w:rPr>
          <w:sz w:val="20"/>
          <w:szCs w:val="20"/>
          <w:color w:val="auto"/>
        </w:rPr>
      </w:pPr>
      <w:r>
        <w:rPr>
          <w:rFonts w:ascii="Trebuchet MS" w:cs="Trebuchet MS" w:eastAsia="Trebuchet MS" w:hAnsi="Trebuchet MS"/>
          <w:sz w:val="22"/>
          <w:szCs w:val="22"/>
          <w:color w:val="auto"/>
        </w:rPr>
        <w:t>E. Sustentable</w:t>
      </w:r>
    </w:p>
    <w:p>
      <w:pPr>
        <w:spacing w:after="0" w:line="205" w:lineRule="exact"/>
        <w:rPr>
          <w:sz w:val="20"/>
          <w:szCs w:val="20"/>
          <w:color w:val="auto"/>
        </w:rPr>
      </w:pPr>
    </w:p>
    <w:p>
      <w:pPr>
        <w:ind w:left="980"/>
        <w:spacing w:after="0"/>
        <w:rPr>
          <w:sz w:val="20"/>
          <w:szCs w:val="20"/>
          <w:color w:val="auto"/>
        </w:rPr>
      </w:pPr>
      <w:r>
        <w:rPr>
          <w:rFonts w:ascii="Trebuchet MS" w:cs="Trebuchet MS" w:eastAsia="Trebuchet MS" w:hAnsi="Trebuchet MS"/>
          <w:sz w:val="22"/>
          <w:szCs w:val="22"/>
          <w:color w:val="auto"/>
        </w:rPr>
        <w:t>E. intangible o “sin peso”</w:t>
      </w:r>
    </w:p>
    <w:p>
      <w:pPr>
        <w:spacing w:after="0" w:line="225" w:lineRule="exact"/>
        <w:rPr>
          <w:sz w:val="20"/>
          <w:szCs w:val="20"/>
          <w:color w:val="auto"/>
        </w:rPr>
      </w:pPr>
    </w:p>
    <w:p>
      <w:pPr>
        <w:ind w:left="980"/>
        <w:spacing w:after="0"/>
        <w:rPr>
          <w:sz w:val="20"/>
          <w:szCs w:val="20"/>
          <w:color w:val="auto"/>
        </w:rPr>
      </w:pPr>
      <w:r>
        <w:rPr>
          <w:rFonts w:ascii="Trebuchet MS" w:cs="Trebuchet MS" w:eastAsia="Trebuchet MS" w:hAnsi="Trebuchet MS"/>
          <w:sz w:val="22"/>
          <w:szCs w:val="22"/>
          <w:color w:val="auto"/>
        </w:rPr>
        <w:t>E. sin “fricción”.</w:t>
      </w:r>
    </w:p>
    <w:p>
      <w:pPr>
        <w:spacing w:after="0" w:line="225" w:lineRule="exact"/>
        <w:rPr>
          <w:sz w:val="20"/>
          <w:szCs w:val="20"/>
          <w:color w:val="auto"/>
        </w:rPr>
      </w:pPr>
    </w:p>
    <w:p>
      <w:pPr>
        <w:ind w:left="980" w:right="520"/>
        <w:spacing w:after="0" w:line="260" w:lineRule="auto"/>
        <w:rPr>
          <w:sz w:val="20"/>
          <w:szCs w:val="20"/>
          <w:color w:val="auto"/>
        </w:rPr>
      </w:pPr>
      <w:r>
        <w:rPr>
          <w:rFonts w:ascii="Trebuchet MS" w:cs="Trebuchet MS" w:eastAsia="Trebuchet MS" w:hAnsi="Trebuchet MS"/>
          <w:sz w:val="22"/>
          <w:szCs w:val="22"/>
          <w:color w:val="auto"/>
        </w:rPr>
        <w:t>El estadío actual de la economía luego de la lectura del texto de Rifkin y las clases es que nos encontramos en una etapa de economía de la información, ya que el bien mas preciado del momento es este, y todavía se está trabajando en formas de llevarlo a conocimiento, pero considero que aún no se llegó a perfeccionar del todo este último paso.</w:t>
      </w:r>
    </w:p>
    <w:sectPr>
      <w:pgSz w:w="12240" w:h="15840" w:orient="portrait"/>
      <w:cols w:equalWidth="0" w:num="1">
        <w:col w:w="9360"/>
      </w:cols>
      <w:pgMar w:left="1440" w:top="671"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Trebuchet MS">
    <w:panose1 w:val="020B0603020202020204"/>
    <w:charset w:val="00"/>
    <w:family w:val="swiss"/>
    <w:pitch w:val="variable"/>
    <w:sig w:usb0="00000687" w:usb1="00000000" w:usb2="00000000" w:usb3="00000000" w:csb0="2000009F" w:csb1="00000000"/>
  </w:font>
</w:fonts>
</file>

<file path=word/numbering.xml><?xml version="1.0" encoding="utf-8"?>
<w:numbering xmlns:w="http://schemas.openxmlformats.org/wordprocessingml/2006/main">
  <w:abstractNum w:abstractNumId="0">
    <w:nsid w:val="625558EC"/>
    <w:multiLevelType w:val="hybridMultilevel"/>
    <w:lvl w:ilvl="0">
      <w:lvlJc w:val="left"/>
      <w:lvlText w:val="%1."/>
      <w:numFmt w:val="decimal"/>
      <w:start w:val="1"/>
    </w:lvl>
  </w:abstractNum>
  <w:abstractNum w:abstractNumId="1">
    <w:nsid w:val="238E1F29"/>
    <w:multiLevelType w:val="hybridMultilevel"/>
    <w:lvl w:ilvl="0">
      <w:lvlJc w:val="left"/>
      <w:lvlText w:val="%1."/>
      <w:numFmt w:val="decimal"/>
      <w:start w:val="2"/>
    </w:lvl>
  </w:abstractNum>
  <w:abstractNum w:abstractNumId="2">
    <w:nsid w:val="46E87CCD"/>
    <w:multiLevelType w:val="hybridMultilevel"/>
    <w:lvl w:ilvl="0">
      <w:lvlJc w:val="left"/>
      <w:lvlText w:val="%1."/>
      <w:numFmt w:val="decimal"/>
      <w:start w:val="3"/>
    </w:lvl>
  </w:abstractNum>
  <w:abstractNum w:abstractNumId="3">
    <w:nsid w:val="3D1B58BA"/>
    <w:multiLevelType w:val="hybridMultilevel"/>
    <w:lvl w:ilvl="0">
      <w:lvlJc w:val="left"/>
      <w:lvlText w:val="%1."/>
      <w:numFmt w:val="decimal"/>
      <w:start w:val="5"/>
    </w:lvl>
  </w:abstractNum>
  <w:abstractNum w:abstractNumId="4">
    <w:nsid w:val="507ED7AB"/>
    <w:multiLevelType w:val="hybridMultilevel"/>
    <w:lvl w:ilvl="0">
      <w:lvlJc w:val="left"/>
      <w:lvlText w:val="%1."/>
      <w:numFmt w:val="decimal"/>
      <w:start w:val="6"/>
    </w:lvl>
  </w:abstractNum>
  <w:abstractNum w:abstractNumId="5">
    <w:nsid w:val="2EB141F2"/>
    <w:multiLevelType w:val="hybridMultilevel"/>
    <w:lvl w:ilvl="0">
      <w:lvlJc w:val="left"/>
      <w:lvlText w:val="%1."/>
      <w:numFmt w:val="decimal"/>
      <w:start w:val="7"/>
    </w:lvl>
  </w:abstractNum>
  <w:abstractNum w:abstractNumId="6">
    <w:nsid w:val="41B71EFB"/>
    <w:multiLevelType w:val="hybridMultilevel"/>
    <w:lvl w:ilvl="0">
      <w:lvlJc w:val="left"/>
      <w:lvlText w:val="%1."/>
      <w:numFmt w:val="decimal"/>
      <w:start w:val="8"/>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2020-07-16T09:57:10Z</dcterms:created>
  <dcterms:modified xsi:type="dcterms:W3CDTF">2020-07-16T09:57:10Z</dcterms:modified>
</cp:coreProperties>
</file>