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i w:val="0"/>
          <w:sz w:val="40"/>
        </w:rPr>
        <w:t>坤浪科技专利技术交底书</w:t>
      </w:r>
    </w:p>
    <w:p>
      <w:pPr>
        <w:keepNext/>
        <w:spacing w:before="200" w:after="100"/>
      </w:pPr>
      <w:r>
        <w:rPr>
          <w:rFonts w:ascii="黑体" w:hAnsi="黑体" w:eastAsia="黑体"/>
          <w:b/>
          <w:i w:val="0"/>
          <w:sz w:val="28"/>
        </w:rPr>
        <w:t>基本信息</w:t>
      </w:r>
    </w:p>
    <w:tbl>
      <w:tblPr>
        <w:tblW w:type="auto" w:w="0"/>
        <w:jc w:val="center"/>
        <w:tblLayout w:type="fixed"/>
        <w:tblLook w:firstColumn="1" w:firstRow="1" w:lastColumn="0" w:lastRow="0" w:noHBand="0" w:noVBand="1" w:val="04A0"/>
      </w:tblPr>
      <w:tblGrid>
        <w:gridCol w:w="4649"/>
        <w:gridCol w:w="4649"/>
      </w:tblGrid>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项目</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内容</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专利名称</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一种面向港口自动驾驶车辆的转弯感知多模态运动预测方法、装置、设备及存储介质</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专利类型</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发明专利</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技术领域</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港口自动驾驶；场区智能感知；多目标运动预测；端到端感知预测模型</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发明人</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鲍佳立、贺志国、聂新勇</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联系人</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鲍佳立</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联系电话</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18117553298</w:t>
            </w:r>
          </w:p>
        </w:tc>
      </w:tr>
      <w:tr>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电子邮箱</w:t>
            </w:r>
          </w:p>
        </w:tc>
        <w:tc>
          <w:tcPr>
            <w:tcW w:type="dxa" w:w="464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jiali.bao@kunlang.cn</w:t>
            </w:r>
          </w:p>
        </w:tc>
      </w:tr>
    </w:tbl>
    <w:p>
      <w:pPr>
        <w:spacing w:after="40"/>
      </w:pPr>
    </w:p>
    <w:tbl>
      <w:tblPr>
        <w:tblW w:type="auto" w:w="0"/>
        <w:tblLook w:firstColumn="1" w:firstRow="1" w:lastColumn="0" w:lastRow="0" w:noHBand="0" w:noVBand="1" w:val="04A0"/>
      </w:tblPr>
      <w:tblGrid>
        <w:gridCol w:w="9298"/>
      </w:tblGrid>
      <w:tr>
        <w:tc>
          <w:tcPr>
            <w:tcW w:type="dxa" w:w="9298"/>
            <w:vAlign w:val="top"/>
            <w:shd w:fill="FFF7ED"/>
            <w:tcBorders>
              <w:top w:val="single" w:sz="6" w:space="0" w:color="F59E0B"/>
              <w:left w:val="single" w:sz="6" w:space="0" w:color="F59E0B"/>
              <w:bottom w:val="single" w:sz="6" w:space="0" w:color="F59E0B"/>
              <w:right w:val="single" w:sz="6" w:space="0" w:color="F59E0B"/>
              <w:insideH w:val="single" w:sz="6" w:space="0" w:color="F59E0B"/>
              <w:insideV w:val="single" w:sz="6" w:space="0" w:color="F59E0B"/>
            </w:tcBorders>
          </w:tcPr>
          <w:p>
            <w:pPr>
              <w:spacing w:line="276" w:lineRule="auto" w:after="0"/>
            </w:pPr>
            <w:r/>
            <w:r>
              <w:rPr>
                <w:rFonts w:ascii="宋体" w:hAnsi="宋体" w:eastAsia="宋体"/>
                <w:b w:val="0"/>
                <w:i w:val="0"/>
                <w:sz w:val="21"/>
              </w:rPr>
              <w:t>本文件为内部技术交底草案，用于与专利代理人沟通发明构思、实施方式、实验数据和可保护点。正式申请前建议由专利代理人进行新颖性/创造性检索、权利要求布局和公开风险审查。</w:t>
            </w:r>
          </w:p>
        </w:tc>
      </w:tr>
    </w:tbl>
    <w:p>
      <w:pPr>
        <w:keepNext/>
        <w:spacing w:before="200" w:after="100"/>
      </w:pPr>
      <w:r>
        <w:rPr>
          <w:rFonts w:ascii="黑体" w:hAnsi="黑体" w:eastAsia="黑体"/>
          <w:b/>
          <w:i w:val="0"/>
          <w:sz w:val="28"/>
        </w:rPr>
        <w:t>创新点摘要</w:t>
      </w:r>
    </w:p>
    <w:p>
      <w:pPr>
        <w:spacing w:line="300" w:lineRule="auto" w:after="80"/>
        <w:ind w:firstLine="420"/>
      </w:pPr>
      <w:r>
        <w:rPr>
          <w:rFonts w:ascii="宋体" w:hAnsi="宋体" w:eastAsia="宋体"/>
          <w:b w:val="0"/>
          <w:i w:val="0"/>
          <w:sz w:val="22"/>
        </w:rPr>
        <w:t>针对港口自动驾驶场景中集卡、拖挂车、智能导引运输车、吊车、叉车等目标存在大量静止、直行和低速样本，而真实转弯、掉头、横移、装卸作业等运动模式呈长尾分布，导致普通运动锚点偏向直线、运动预测在转弯场景表现较弱的问题，提出一种“目标局部坐标系下的统一转弯度量 + 港口类别分组 + 分层转弯锚点 + 转弯分桶训练损失”的多模态运动预测方案。</w:t>
      </w:r>
    </w:p>
    <w:p>
      <w:pPr>
        <w:spacing w:line="300" w:lineRule="auto" w:after="80"/>
        <w:ind w:firstLine="420"/>
      </w:pPr>
      <w:r>
        <w:rPr>
          <w:rFonts w:ascii="宋体" w:hAnsi="宋体" w:eastAsia="宋体"/>
          <w:b w:val="0"/>
          <w:i w:val="0"/>
          <w:sz w:val="22"/>
        </w:rPr>
        <w:t>该方案先在目标局部坐标系下计算未来轨迹的路径长度、净位移、航向变化和横向偏移比例，将轨迹划分为静止/低速、短直行、长直行、左/右转弯和大机动转弯等运动族；再为不同类别组预留运动族锚点槽位，必要时结合转弯样本加权聚类生成各槽位的代表轨迹；训练时采用平均位移误差与终点位移误差联合的监督模式分配，并按转弯桶对回归损失和/或模式分类损失进行加权。该方案不依赖增加预测模式数量，可在推理复杂度基本不变的情况下改善港口车辆转弯候选覆盖和转弯轨迹训练权重。</w:t>
      </w:r>
    </w:p>
    <w:p>
      <w:pPr>
        <w:keepNext/>
        <w:spacing w:before="200" w:after="100"/>
      </w:pPr>
      <w:r>
        <w:rPr>
          <w:rFonts w:ascii="黑体" w:hAnsi="黑体" w:eastAsia="黑体"/>
          <w:b/>
          <w:i w:val="0"/>
          <w:sz w:val="28"/>
        </w:rPr>
        <w:t>一、背景技术</w:t>
      </w:r>
    </w:p>
    <w:p>
      <w:pPr>
        <w:spacing w:line="300" w:lineRule="auto" w:after="80"/>
        <w:ind w:firstLine="420"/>
      </w:pPr>
      <w:r>
        <w:rPr>
          <w:rFonts w:ascii="宋体" w:hAnsi="宋体" w:eastAsia="宋体"/>
          <w:b w:val="0"/>
          <w:i w:val="0"/>
          <w:sz w:val="22"/>
        </w:rPr>
        <w:t>港口自动驾驶车辆通常在堆场、闸口、岸桥、轨道吊、泊位等区域运行。与城市道路车辆相比，港口目标类别更复杂，包括集卡、拖挂车、IGV 空/满载、轮胎吊、正面吊、叉车、行人、锥桶等；运动模式也更加复杂，既存在较长距离直行运输，也存在低速倒车、横移、原地转向、装卸作业、人工遥控导致的非规则转弯等行为。</w:t>
      </w:r>
    </w:p>
    <w:p>
      <w:pPr>
        <w:spacing w:line="300" w:lineRule="auto" w:after="80"/>
        <w:ind w:firstLine="420"/>
      </w:pPr>
      <w:r>
        <w:rPr>
          <w:rFonts w:ascii="宋体" w:hAnsi="宋体" w:eastAsia="宋体"/>
          <w:b w:val="0"/>
          <w:i w:val="0"/>
          <w:sz w:val="22"/>
        </w:rPr>
        <w:t>现有多模态运动预测方法通常从训练集未来轨迹中直接进行普通聚类，得到固定数量的轨迹锚点，并用平均位移误差或类似指标选择监督模式。该类方法在普通道路数据集中可以覆盖部分直行、变道和转弯模式，但在港口场景中存在以下问题：</w:t>
      </w:r>
    </w:p>
    <w:p>
      <w:pPr>
        <w:spacing w:line="300" w:lineRule="auto" w:after="80"/>
      </w:pPr>
      <w:r>
        <w:rPr>
          <w:rFonts w:ascii="宋体" w:hAnsi="宋体" w:eastAsia="宋体"/>
          <w:b w:val="0"/>
          <w:i w:val="0"/>
          <w:sz w:val="22"/>
        </w:rPr>
        <w:t>1. 港口训练集中静止、慢速和直行样本占比高，普通聚类容易被高频模式主导，车辆锚点缺少真正大角度转弯或作业式转向模板。</w:t>
      </w:r>
    </w:p>
    <w:p>
      <w:pPr>
        <w:spacing w:line="300" w:lineRule="auto" w:after="80"/>
      </w:pPr>
      <w:r>
        <w:rPr>
          <w:rFonts w:ascii="宋体" w:hAnsi="宋体" w:eastAsia="宋体"/>
          <w:b w:val="0"/>
          <w:i w:val="0"/>
          <w:sz w:val="22"/>
        </w:rPr>
        <w:t>2. 真实转弯样本属于长尾样本，即便其对安全和规划重要，也容易在锚点生成和损失训练中被低估。</w:t>
      </w:r>
    </w:p>
    <w:p>
      <w:pPr>
        <w:spacing w:line="300" w:lineRule="auto" w:after="80"/>
      </w:pPr>
      <w:r>
        <w:rPr>
          <w:rFonts w:ascii="宋体" w:hAnsi="宋体" w:eastAsia="宋体"/>
          <w:b w:val="0"/>
          <w:i w:val="0"/>
          <w:sz w:val="22"/>
        </w:rPr>
        <w:t>3. 仅增加预测模式数量会增加模型参数和推理成本，并且不能保证新增模式覆盖转弯。</w:t>
      </w:r>
    </w:p>
    <w:p>
      <w:pPr>
        <w:spacing w:line="300" w:lineRule="auto" w:after="80"/>
      </w:pPr>
      <w:r>
        <w:rPr>
          <w:rFonts w:ascii="宋体" w:hAnsi="宋体" w:eastAsia="宋体"/>
          <w:b w:val="0"/>
          <w:i w:val="0"/>
          <w:sz w:val="22"/>
        </w:rPr>
        <w:t>4. 锥桶等近静止目标若与车辆或行人混合生成锚点，可能污染车辆/行人的运动锚点。</w:t>
      </w:r>
    </w:p>
    <w:p>
      <w:pPr>
        <w:spacing w:line="300" w:lineRule="auto" w:after="80"/>
      </w:pPr>
      <w:r>
        <w:rPr>
          <w:rFonts w:ascii="宋体" w:hAnsi="宋体" w:eastAsia="宋体"/>
          <w:b w:val="0"/>
          <w:i w:val="0"/>
          <w:sz w:val="22"/>
        </w:rPr>
        <w:t>5. 多模态输出中经常出现“最优候选误差较小但最高置信度候选误差较大”的现象，说明候选轨迹已经存在，但模型置信度没有把正确预测模式排到第一。</w:t>
      </w:r>
    </w:p>
    <w:p>
      <w:pPr>
        <w:spacing w:line="300" w:lineRule="auto" w:after="80"/>
        <w:ind w:firstLine="420"/>
      </w:pPr>
      <w:r>
        <w:rPr>
          <w:rFonts w:ascii="宋体" w:hAnsi="宋体" w:eastAsia="宋体"/>
          <w:b w:val="0"/>
          <w:i w:val="0"/>
          <w:sz w:val="22"/>
        </w:rPr>
        <w:t>与通用轨迹预测方法相比，本发明不以单纯增加候选轨迹数量、单纯改用带权聚类或单纯调整训练误差为核心，而是把港口类别分组、目标局部坐标系下的统一转弯度量、运动族槽位保留和转弯分桶训练目标组合使用。该组合使锚点结构与港口作业运动语义对应，并使训练过程显式关注转弯长尾样本，从而区别于仅依据全局轨迹距离聚类或仅依据平均误差选择监督模式的现有方案。</w:t>
      </w:r>
    </w:p>
    <w:p>
      <w:pPr>
        <w:keepNext/>
        <w:spacing w:before="200" w:after="100"/>
      </w:pPr>
      <w:r>
        <w:rPr>
          <w:rFonts w:ascii="黑体" w:hAnsi="黑体" w:eastAsia="黑体"/>
          <w:b/>
          <w:i w:val="0"/>
          <w:sz w:val="28"/>
        </w:rPr>
        <w:t>二、发明内容</w:t>
      </w:r>
    </w:p>
    <w:p>
      <w:pPr>
        <w:keepNext/>
        <w:spacing w:before="120" w:after="100"/>
      </w:pPr>
      <w:r>
        <w:rPr>
          <w:rFonts w:ascii="黑体" w:hAnsi="黑体" w:eastAsia="黑体"/>
          <w:b/>
          <w:i w:val="0"/>
          <w:sz w:val="24"/>
        </w:rPr>
        <w:t>1. 要解决的技术问题</w:t>
      </w:r>
    </w:p>
    <w:p>
      <w:pPr>
        <w:spacing w:line="300" w:lineRule="auto" w:after="80"/>
        <w:ind w:firstLine="420"/>
      </w:pPr>
      <w:r>
        <w:rPr>
          <w:rFonts w:ascii="宋体" w:hAnsi="宋体" w:eastAsia="宋体"/>
          <w:b w:val="0"/>
          <w:i w:val="0"/>
          <w:sz w:val="22"/>
        </w:rPr>
        <w:t>本发明拟解决港口自动驾驶运动预测模型在转弯场景中预测能力不足的问题，尤其是：</w:t>
      </w:r>
    </w:p>
    <w:p>
      <w:pPr>
        <w:spacing w:line="300" w:lineRule="auto" w:after="80"/>
      </w:pPr>
      <w:r>
        <w:rPr>
          <w:rFonts w:ascii="宋体" w:hAnsi="宋体" w:eastAsia="宋体"/>
          <w:b w:val="0"/>
          <w:i w:val="0"/>
          <w:sz w:val="22"/>
        </w:rPr>
        <w:t>1. 运动锚点偏直线，缺少转弯候选；</w:t>
      </w:r>
    </w:p>
    <w:p>
      <w:pPr>
        <w:spacing w:line="300" w:lineRule="auto" w:after="80"/>
      </w:pPr>
      <w:r>
        <w:rPr>
          <w:rFonts w:ascii="宋体" w:hAnsi="宋体" w:eastAsia="宋体"/>
          <w:b w:val="0"/>
          <w:i w:val="0"/>
          <w:sz w:val="22"/>
        </w:rPr>
        <w:t>2. 训练损失被直行/静止样本主导，转弯样本权重不足；</w:t>
      </w:r>
    </w:p>
    <w:p>
      <w:pPr>
        <w:spacing w:line="300" w:lineRule="auto" w:after="80"/>
      </w:pPr>
      <w:r>
        <w:rPr>
          <w:rFonts w:ascii="宋体" w:hAnsi="宋体" w:eastAsia="宋体"/>
          <w:b w:val="0"/>
          <w:i w:val="0"/>
          <w:sz w:val="22"/>
        </w:rPr>
        <w:t>3. 监督模式仅按平均位移误差选择时，容易忽略终点误差；</w:t>
      </w:r>
    </w:p>
    <w:p>
      <w:pPr>
        <w:spacing w:line="300" w:lineRule="auto" w:after="80"/>
      </w:pPr>
      <w:r>
        <w:rPr>
          <w:rFonts w:ascii="宋体" w:hAnsi="宋体" w:eastAsia="宋体"/>
          <w:b w:val="0"/>
          <w:i w:val="0"/>
          <w:sz w:val="22"/>
        </w:rPr>
        <w:t>4. 候选轨迹存在但模式分类分数选错，导致实际推理时最高置信度轨迹偏差较大；</w:t>
      </w:r>
    </w:p>
    <w:p>
      <w:pPr>
        <w:spacing w:line="300" w:lineRule="auto" w:after="80"/>
      </w:pPr>
      <w:r>
        <w:rPr>
          <w:rFonts w:ascii="宋体" w:hAnsi="宋体" w:eastAsia="宋体"/>
          <w:b w:val="0"/>
          <w:i w:val="0"/>
          <w:sz w:val="22"/>
        </w:rPr>
        <w:t>5. 港口异构目标类别多，锥桶、车辆、行人混合处理会降低锚点表达质量。</w:t>
      </w:r>
    </w:p>
    <w:p>
      <w:pPr>
        <w:keepNext/>
        <w:spacing w:before="120" w:after="100"/>
      </w:pPr>
      <w:r>
        <w:rPr>
          <w:rFonts w:ascii="黑体" w:hAnsi="黑体" w:eastAsia="黑体"/>
          <w:b/>
          <w:i w:val="0"/>
          <w:sz w:val="24"/>
        </w:rPr>
        <w:t>2. 技术方案概述</w:t>
      </w:r>
    </w:p>
    <w:p>
      <w:pPr>
        <w:spacing w:line="300" w:lineRule="auto" w:after="80"/>
        <w:ind w:firstLine="420"/>
      </w:pPr>
      <w:r>
        <w:rPr>
          <w:rFonts w:ascii="宋体" w:hAnsi="宋体" w:eastAsia="宋体"/>
          <w:b w:val="0"/>
          <w:i w:val="0"/>
          <w:sz w:val="22"/>
        </w:rPr>
        <w:t>本发明提出一种面向港口异构交通参与体的转弯感知多模态运动预测方法，包括：</w:t>
      </w:r>
    </w:p>
    <w:p>
      <w:pPr>
        <w:spacing w:line="300" w:lineRule="auto" w:after="80"/>
      </w:pPr>
      <w:r>
        <w:rPr>
          <w:rFonts w:ascii="宋体" w:hAnsi="宋体" w:eastAsia="宋体"/>
          <w:b w:val="0"/>
          <w:i w:val="0"/>
          <w:sz w:val="22"/>
        </w:rPr>
        <w:t>1. 从港口自动驾驶训练数据中读取目标类别、三维框航向角、未来轨迹和未来轨迹有效掩码；</w:t>
      </w:r>
    </w:p>
    <w:p>
      <w:pPr>
        <w:spacing w:line="300" w:lineRule="auto" w:after="80"/>
      </w:pPr>
      <w:r>
        <w:rPr>
          <w:rFonts w:ascii="宋体" w:hAnsi="宋体" w:eastAsia="宋体"/>
          <w:b w:val="0"/>
          <w:i w:val="0"/>
          <w:sz w:val="22"/>
        </w:rPr>
        <w:t>2. 将未来轨迹变换到目标局部坐标系，使局部 +Y 方向表示目标当前朝向前方；</w:t>
      </w:r>
    </w:p>
    <w:p>
      <w:pPr>
        <w:spacing w:line="300" w:lineRule="auto" w:after="80"/>
      </w:pPr>
      <w:r>
        <w:rPr>
          <w:rFonts w:ascii="宋体" w:hAnsi="宋体" w:eastAsia="宋体"/>
          <w:b w:val="0"/>
          <w:i w:val="0"/>
          <w:sz w:val="22"/>
        </w:rPr>
        <w:t>3. 基于路径长度、净位移、航向变化和横向偏移比例，将目标未来运动划分为静止/低速、直行、轻微转弯和大转弯；</w:t>
      </w:r>
    </w:p>
    <w:p>
      <w:pPr>
        <w:spacing w:line="300" w:lineRule="auto" w:after="80"/>
      </w:pPr>
      <w:r>
        <w:rPr>
          <w:rFonts w:ascii="宋体" w:hAnsi="宋体" w:eastAsia="宋体"/>
          <w:b w:val="0"/>
          <w:i w:val="0"/>
          <w:sz w:val="22"/>
        </w:rPr>
        <w:t>4. 按目标类别构建锚点组，例如行人组、车辆/作业设备组、锥桶组；</w:t>
      </w:r>
    </w:p>
    <w:p>
      <w:pPr>
        <w:spacing w:line="300" w:lineRule="auto" w:after="80"/>
      </w:pPr>
      <w:r>
        <w:rPr>
          <w:rFonts w:ascii="宋体" w:hAnsi="宋体" w:eastAsia="宋体"/>
          <w:b w:val="0"/>
          <w:i w:val="0"/>
          <w:sz w:val="22"/>
        </w:rPr>
        <w:t>5. 按运动桶分层保留固定数量的锚点槽位，必要时基于转弯强度对样本加权聚类，生成覆盖直行、低速、左右转弯和机动作业的多模态运动锚点；</w:t>
      </w:r>
    </w:p>
    <w:p>
      <w:pPr>
        <w:spacing w:line="300" w:lineRule="auto" w:after="80"/>
      </w:pPr>
      <w:r>
        <w:rPr>
          <w:rFonts w:ascii="宋体" w:hAnsi="宋体" w:eastAsia="宋体"/>
          <w:b w:val="0"/>
          <w:i w:val="0"/>
          <w:sz w:val="22"/>
        </w:rPr>
        <w:t>6. 将锚点加载到多模态运动预测网络中，作为候选轨迹生成、初始参考轨迹或位置编码的先验信息；</w:t>
      </w:r>
    </w:p>
    <w:p>
      <w:pPr>
        <w:spacing w:line="300" w:lineRule="auto" w:after="80"/>
      </w:pPr>
      <w:r>
        <w:rPr>
          <w:rFonts w:ascii="宋体" w:hAnsi="宋体" w:eastAsia="宋体"/>
          <w:b w:val="0"/>
          <w:i w:val="0"/>
          <w:sz w:val="22"/>
        </w:rPr>
        <w:t>7. 训练时计算每个候选预测模式相对真实轨迹的平均位移误差和终点位移误差，并采用二者的联合度量选择监督模式；</w:t>
      </w:r>
    </w:p>
    <w:p>
      <w:pPr>
        <w:spacing w:line="300" w:lineRule="auto" w:after="80"/>
      </w:pPr>
      <w:r>
        <w:rPr>
          <w:rFonts w:ascii="宋体" w:hAnsi="宋体" w:eastAsia="宋体"/>
          <w:b w:val="0"/>
          <w:i w:val="0"/>
          <w:sz w:val="22"/>
        </w:rPr>
        <w:t>8. 训练时按运动桶对轨迹回归损失、终点误差项和/或模式分类损失进行加权，并对批次权重均值归一；</w:t>
      </w:r>
    </w:p>
    <w:p>
      <w:pPr>
        <w:spacing w:line="300" w:lineRule="auto" w:after="80"/>
      </w:pPr>
      <w:r>
        <w:rPr>
          <w:rFonts w:ascii="宋体" w:hAnsi="宋体" w:eastAsia="宋体"/>
          <w:b w:val="0"/>
          <w:i w:val="0"/>
          <w:sz w:val="22"/>
        </w:rPr>
        <w:t>9. 推理时输出多个候选轨迹及置信度，以置信度最高轨迹作为最终输出，并通过最高置信度候选/最优候选诊断定位候选覆盖不足、模式评分错误或目标漏检问题。</w:t>
      </w:r>
    </w:p>
    <w:p>
      <w:pPr>
        <w:keepNext/>
        <w:spacing w:before="120" w:after="100"/>
      </w:pPr>
      <w:r>
        <w:rPr>
          <w:rFonts w:ascii="黑体" w:hAnsi="黑体" w:eastAsia="黑体"/>
          <w:b/>
          <w:i w:val="0"/>
          <w:sz w:val="24"/>
        </w:rPr>
        <w:t>3. 有益效果</w:t>
      </w:r>
    </w:p>
    <w:p>
      <w:pPr>
        <w:spacing w:line="300" w:lineRule="auto" w:after="80"/>
      </w:pPr>
      <w:r>
        <w:rPr>
          <w:rFonts w:ascii="宋体" w:hAnsi="宋体" w:eastAsia="宋体"/>
          <w:b w:val="0"/>
          <w:i w:val="0"/>
          <w:sz w:val="22"/>
        </w:rPr>
        <w:t>1. 转弯感知锚点改善了候选轨迹覆盖，使车辆组在固定候选模式数量下包含真实左右转弯或作业式转向模板。</w:t>
      </w:r>
    </w:p>
    <w:p>
      <w:pPr>
        <w:spacing w:line="300" w:lineRule="auto" w:after="80"/>
      </w:pPr>
      <w:r>
        <w:rPr>
          <w:rFonts w:ascii="宋体" w:hAnsi="宋体" w:eastAsia="宋体"/>
          <w:b w:val="0"/>
          <w:i w:val="0"/>
          <w:sz w:val="22"/>
        </w:rPr>
        <w:t>2. 平均位移误差与终点位移误差联合的模式分配使训练监督更关注终点误差，适合港口大车转弯和长距离轨迹预测。</w:t>
      </w:r>
    </w:p>
    <w:p>
      <w:pPr>
        <w:spacing w:line="300" w:lineRule="auto" w:after="80"/>
      </w:pPr>
      <w:r>
        <w:rPr>
          <w:rFonts w:ascii="宋体" w:hAnsi="宋体" w:eastAsia="宋体"/>
          <w:b w:val="0"/>
          <w:i w:val="0"/>
          <w:sz w:val="22"/>
        </w:rPr>
        <w:t>3. 转弯分桶加权损失提高了轻微转弯和大转弯样本的训练影响力，并通过均值归一避免整体损失尺度漂移。</w:t>
      </w:r>
    </w:p>
    <w:p>
      <w:pPr>
        <w:spacing w:line="300" w:lineRule="auto" w:after="80"/>
      </w:pPr>
      <w:r>
        <w:rPr>
          <w:rFonts w:ascii="宋体" w:hAnsi="宋体" w:eastAsia="宋体"/>
          <w:b w:val="0"/>
          <w:i w:val="0"/>
          <w:sz w:val="22"/>
        </w:rPr>
        <w:t>4. 锥桶独立分组降低近静止/抖动目标对车辆锚点的污染。</w:t>
      </w:r>
    </w:p>
    <w:p>
      <w:pPr>
        <w:spacing w:line="300" w:lineRule="auto" w:after="80"/>
      </w:pPr>
      <w:r>
        <w:rPr>
          <w:rFonts w:ascii="宋体" w:hAnsi="宋体" w:eastAsia="宋体"/>
          <w:b w:val="0"/>
          <w:i w:val="0"/>
          <w:sz w:val="22"/>
        </w:rPr>
        <w:t>5. 最高置信度候选/最优候选诊断把问题拆成候选覆盖不足、模式评分错误、目标漏检三类，便于后续优化和专利实施例扩展。</w:t>
      </w:r>
    </w:p>
    <w:p>
      <w:pPr>
        <w:keepNext/>
        <w:spacing w:before="200" w:after="100"/>
      </w:pPr>
      <w:r>
        <w:rPr>
          <w:rFonts w:ascii="黑体" w:hAnsi="黑体" w:eastAsia="黑体"/>
          <w:b/>
          <w:i w:val="0"/>
          <w:sz w:val="28"/>
        </w:rPr>
        <w:t>三、具体实施方式</w:t>
      </w:r>
    </w:p>
    <w:p>
      <w:pPr>
        <w:keepNext/>
        <w:spacing w:before="120" w:after="100"/>
      </w:pPr>
      <w:r>
        <w:rPr>
          <w:rFonts w:ascii="黑体" w:hAnsi="黑体" w:eastAsia="黑体"/>
          <w:b/>
          <w:i w:val="0"/>
          <w:sz w:val="24"/>
        </w:rPr>
        <w:t>步骤 S1：采集和读取训练样本</w:t>
      </w:r>
    </w:p>
    <w:p>
      <w:pPr>
        <w:spacing w:line="300" w:lineRule="auto" w:after="80"/>
        <w:ind w:firstLine="420"/>
      </w:pPr>
      <w:r>
        <w:rPr>
          <w:rFonts w:ascii="宋体" w:hAnsi="宋体" w:eastAsia="宋体"/>
          <w:b w:val="0"/>
          <w:i w:val="0"/>
          <w:sz w:val="22"/>
        </w:rPr>
        <w:t>训练样本包括港口连续帧传感器数据、目标三维框、目标类别、目标航向角、目标未来轨迹位置序列及其有效掩码。未来轨迹长度和候选模式数量可根据预测时域、模型容量和实时性要求配置；一个工程实施例中使用固定长度未来轨迹和固定数量候选模式。</w:t>
      </w:r>
    </w:p>
    <w:p>
      <w:pPr>
        <w:keepNext/>
        <w:spacing w:before="120" w:after="100"/>
      </w:pPr>
      <w:r>
        <w:rPr>
          <w:rFonts w:ascii="黑体" w:hAnsi="黑体" w:eastAsia="黑体"/>
          <w:b/>
          <w:i w:val="0"/>
          <w:sz w:val="24"/>
        </w:rPr>
        <w:t>步骤 S2：类别分组</w:t>
      </w:r>
    </w:p>
    <w:tbl>
      <w:tblPr>
        <w:tblW w:type="auto" w:w="0"/>
        <w:jc w:val="center"/>
        <w:tblLayout w:type="fixed"/>
        <w:tblLook w:firstColumn="1" w:firstRow="1" w:lastColumn="0" w:lastRow="0" w:noHBand="0" w:noVBand="1" w:val="04A0"/>
      </w:tblPr>
      <w:tblGrid>
        <w:gridCol w:w="3099"/>
        <w:gridCol w:w="3099"/>
        <w:gridCol w:w="3099"/>
      </w:tblGrid>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组号</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类别</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设计理由</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G0</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行人</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行人尺度、速度和运动模式与车辆不同。</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G1</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小车、智能导引运输车、集卡、空/重载拖挂车、吊车、叉车及其他港口车辆/作业设备</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港口车辆或作业设备，存在直行、转弯、横移、低速作业等多种运动模式。</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G2</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锥桶</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锥桶大多近静止，单独分组可避免静态/抖动目标污染行人和车辆锚点。</w:t>
            </w:r>
          </w:p>
        </w:tc>
      </w:tr>
    </w:tbl>
    <w:p>
      <w:pPr>
        <w:spacing w:after="40"/>
      </w:pPr>
    </w:p>
    <w:p>
      <w:pPr>
        <w:keepNext/>
        <w:spacing w:before="120" w:after="100"/>
      </w:pPr>
      <w:r>
        <w:rPr>
          <w:rFonts w:ascii="黑体" w:hAnsi="黑体" w:eastAsia="黑体"/>
          <w:b/>
          <w:i w:val="0"/>
          <w:sz w:val="24"/>
        </w:rPr>
        <w:t>步骤 S3：目标局部坐标归一</w:t>
      </w:r>
    </w:p>
    <w:p>
      <w:pPr>
        <w:spacing w:line="300" w:lineRule="auto" w:after="80"/>
        <w:ind w:firstLine="420"/>
      </w:pPr>
      <w:r>
        <w:rPr>
          <w:rFonts w:ascii="宋体" w:hAnsi="宋体" w:eastAsia="宋体"/>
          <w:b w:val="0"/>
          <w:i w:val="0"/>
          <w:sz w:val="22"/>
        </w:rPr>
        <w:t>对目标未来轨迹相对位移进行局部坐标变换，使局部 +Y 方向表示目标当前朝向前方。设目标当前航向角为 ψ，未来相对位移为 p，则局部轨迹点可表示为：</w:t>
      </w:r>
    </w:p>
    <w:p>
      <w:pPr>
        <w:spacing w:before="40" w:after="40"/>
        <w:jc w:val="center"/>
      </w:pPr>
      <m:oMath>
        <m:sSub>
          <m:e>
            <m:r>
              <m:t>p</m:t>
            </m:r>
          </m:e>
          <m:sub>
            <m:r>
              <m:t>local</m:t>
            </m:r>
          </m:sub>
        </m:sSub>
        <m:r>
          <m:t> = R(π/2 − ψ) · p</m:t>
        </m:r>
      </m:oMath>
      <w:r>
        <w:rPr>
          <w:rFonts w:ascii="宋体" w:hAnsi="宋体" w:eastAsia="宋体"/>
          <w:b w:val="0"/>
          <w:i w:val="0"/>
          <w:sz w:val="22"/>
        </w:rPr>
        <w:t xml:space="preserve">   (1)</w:t>
      </w:r>
    </w:p>
    <w:p>
      <w:pPr>
        <w:spacing w:after="20"/>
      </w:pPr>
    </w:p>
    <w:p>
      <w:pPr>
        <w:spacing w:line="300" w:lineRule="auto" w:after="80"/>
        <w:ind w:firstLine="420"/>
      </w:pPr>
      <w:r>
        <w:rPr>
          <w:rFonts w:ascii="宋体" w:hAnsi="宋体" w:eastAsia="宋体"/>
          <w:b w:val="0"/>
          <w:i w:val="0"/>
          <w:sz w:val="22"/>
        </w:rPr>
        <w:t>式（1）中，p_local 表示目标局部坐标系下的未来轨迹点或相对位移，ψ 表示目标当前航向角，p 表示场景坐标系下的未来相对位移，R(·) 表示二维旋转矩阵。</w:t>
      </w:r>
    </w:p>
    <w:p>
      <w:pPr>
        <w:spacing w:line="300" w:lineRule="auto" w:after="80"/>
        <w:ind w:firstLine="420"/>
      </w:pPr>
      <w:r>
        <w:rPr>
          <w:rFonts w:ascii="宋体" w:hAnsi="宋体" w:eastAsia="宋体"/>
          <w:b w:val="0"/>
          <w:i w:val="0"/>
          <w:sz w:val="22"/>
        </w:rPr>
        <w:t>该变换使直行车辆未来轨迹主要沿局部 +Y 方向分布，左右转弯轨迹表现为向局部 X 方向逐渐偏移的弧线，从而有利于跨场景、跨朝向地聚类运动模式。</w:t>
      </w:r>
    </w:p>
    <w:p>
      <w:pPr>
        <w:keepNext/>
        <w:spacing w:before="120" w:after="100"/>
      </w:pPr>
      <w:r>
        <w:rPr>
          <w:rFonts w:ascii="黑体" w:hAnsi="黑体" w:eastAsia="黑体"/>
          <w:b/>
          <w:i w:val="0"/>
          <w:sz w:val="24"/>
        </w:rPr>
        <w:t>步骤 S4：计算运动形态特征与转弯强度</w:t>
      </w:r>
    </w:p>
    <w:p>
      <w:pPr>
        <w:spacing w:line="300" w:lineRule="auto" w:after="80"/>
        <w:ind w:firstLine="420"/>
      </w:pPr>
      <w:r>
        <w:rPr>
          <w:rFonts w:ascii="宋体" w:hAnsi="宋体" w:eastAsia="宋体"/>
          <w:b w:val="0"/>
          <w:i w:val="0"/>
          <w:sz w:val="22"/>
        </w:rPr>
        <w:t>对局部轨迹计算路径长度 path、终点净位移 net、航向变化 Δθ 和横向偏移比例 lat_ratio：</w:t>
      </w:r>
    </w:p>
    <w:p>
      <w:pPr>
        <w:spacing w:before="40" w:after="40"/>
        <w:jc w:val="center"/>
      </w:pPr>
      <m:oMath>
        <m:r>
          <m:t>path = </m:t>
        </m:r>
        <m:sSub>
          <m:e>
            <m:r>
              <m:t>Σ</m:t>
            </m:r>
          </m:e>
          <m:sub>
            <m:r>
              <m:t>t</m:t>
            </m:r>
          </m:sub>
        </m:sSub>
        <m:r>
          <m:t> ||</m:t>
        </m:r>
        <m:sSub>
          <m:e>
            <m:r>
              <m:t>p</m:t>
            </m:r>
          </m:e>
          <m:sub>
            <m:r>
              <m:t>t</m:t>
            </m:r>
          </m:sub>
        </m:sSub>
        <m:r>
          <m:t> − </m:t>
        </m:r>
        <m:sSub>
          <m:e>
            <m:r>
              <m:t>p</m:t>
            </m:r>
          </m:e>
          <m:sub>
            <m:r>
              <m:t>t−1</m:t>
            </m:r>
          </m:sub>
        </m:sSub>
        <m:r>
          <m:t>||</m:t>
        </m:r>
      </m:oMath>
    </w:p>
    <w:p>
      <w:pPr>
        <w:spacing w:before="40" w:after="40"/>
        <w:jc w:val="center"/>
      </w:pPr>
      <m:oMath>
        <m:r>
          <m:t>net = ||</m:t>
        </m:r>
        <m:sSub>
          <m:e>
            <m:r>
              <m:t>p</m:t>
            </m:r>
          </m:e>
          <m:sub>
            <m:r>
              <m:t>T</m:t>
            </m:r>
          </m:sub>
        </m:sSub>
        <m:r>
          <m:t>||</m:t>
        </m:r>
      </m:oMath>
    </w:p>
    <w:p>
      <w:pPr>
        <w:spacing w:before="40" w:after="40"/>
        <w:jc w:val="center"/>
      </w:pPr>
      <m:oMath>
        <m:r>
          <m:t>Δθ = |wrapπ(</m:t>
        </m:r>
        <m:sSub>
          <m:e>
            <m:r>
              <m:t>θ</m:t>
            </m:r>
          </m:e>
          <m:sub>
            <m:r>
              <m:t>last</m:t>
            </m:r>
          </m:sub>
        </m:sSub>
        <m:r>
          <m:t> − </m:t>
        </m:r>
        <m:sSub>
          <m:e>
            <m:r>
              <m:t>θ</m:t>
            </m:r>
          </m:e>
          <m:sub>
            <m:r>
              <m:t>first</m:t>
            </m:r>
          </m:sub>
        </m:sSub>
        <m:r>
          <m:t>)|</m:t>
        </m:r>
      </m:oMath>
    </w:p>
    <w:p>
      <w:pPr>
        <w:spacing w:before="40" w:after="40"/>
        <w:jc w:val="center"/>
      </w:pPr>
      <m:oMath>
        <m:sSub>
          <m:e>
            <m:r>
              <m:t>lat</m:t>
            </m:r>
          </m:e>
          <m:sub>
            <m:r>
              <m:t>ratio</m:t>
            </m:r>
          </m:sub>
        </m:sSub>
        <m:r>
          <m:t> = </m:t>
        </m:r>
        <m:sSub>
          <m:e>
            <m:r>
              <m:t>max</m:t>
            </m:r>
          </m:e>
          <m:sub>
            <m:r>
              <m:t>t</m:t>
            </m:r>
          </m:sub>
        </m:sSub>
        <m:r>
          <m:t> |</m:t>
        </m:r>
        <m:sSub>
          <m:e>
            <m:r>
              <m:t>p</m:t>
            </m:r>
          </m:e>
          <m:sub>
            <m:r>
              <m:t>t</m:t>
            </m:r>
          </m:sub>
        </m:sSub>
        <m:r>
          <m:t> · n| / max(net, ε)</m:t>
        </m:r>
      </m:oMath>
      <w:r>
        <w:rPr>
          <w:rFonts w:ascii="宋体" w:hAnsi="宋体" w:eastAsia="宋体"/>
          <w:b w:val="0"/>
          <w:i w:val="0"/>
          <w:sz w:val="22"/>
        </w:rPr>
        <w:t xml:space="preserve">   (2)</w:t>
      </w:r>
    </w:p>
    <w:p>
      <w:pPr>
        <w:spacing w:after="20"/>
      </w:pPr>
    </w:p>
    <w:p>
      <w:pPr>
        <w:spacing w:line="300" w:lineRule="auto" w:after="80"/>
        <w:ind w:firstLine="420"/>
      </w:pPr>
      <w:r>
        <w:rPr>
          <w:rFonts w:ascii="宋体" w:hAnsi="宋体" w:eastAsia="宋体"/>
          <w:b w:val="0"/>
          <w:i w:val="0"/>
          <w:sz w:val="22"/>
        </w:rPr>
        <w:t>式（2）中，path 表示路径长度，net 表示终点净位移，Δθ 表示航向变化，lat_ratio 表示横向偏移比例，p_t 表示第 t 个未来轨迹点，p_T 表示最后一个有效未来轨迹点，t 表示时间步索引，T 表示最后时间步，v_first 和 v_last 分别表示首个和最后一个有效运动段，n 表示终点方向的法向量，ε 表示用于避免分母为零的极小正数，wrapπ(·) 表示将角度归一化到 [-π, π] 或等价周期区间的函数，atan2(·) 表示用于计算方向角的反正切函数。若有效运动段长度过小，可将该样本视为静止/低速样本，以避免近静止抖动导致误判。</w:t>
      </w:r>
    </w:p>
    <w:p>
      <w:pPr>
        <w:keepNext/>
        <w:spacing w:before="120" w:after="100"/>
      </w:pPr>
      <w:r>
        <w:rPr>
          <w:rFonts w:ascii="黑体" w:hAnsi="黑体" w:eastAsia="黑体"/>
          <w:b/>
          <w:i w:val="0"/>
          <w:sz w:val="24"/>
        </w:rPr>
        <w:t>步骤 S5：运动分桶</w:t>
      </w:r>
    </w:p>
    <w:p>
      <w:pPr>
        <w:spacing w:line="300" w:lineRule="auto" w:after="80"/>
        <w:ind w:firstLine="420"/>
      </w:pPr>
      <w:r>
        <w:rPr>
          <w:rFonts w:ascii="宋体" w:hAnsi="宋体" w:eastAsia="宋体"/>
          <w:b w:val="0"/>
          <w:i w:val="0"/>
          <w:sz w:val="22"/>
        </w:rPr>
        <w:t>一个实施例中，按如下规则分桶：</w:t>
      </w:r>
    </w:p>
    <w:tbl>
      <w:tblPr>
        <w:tblW w:type="auto" w:w="0"/>
        <w:jc w:val="center"/>
        <w:tblLayout w:type="fixed"/>
        <w:tblLook w:firstColumn="1" w:firstRow="1" w:lastColumn="0" w:lastRow="0" w:noHBand="0" w:noVBand="1" w:val="04A0"/>
      </w:tblPr>
      <w:tblGrid>
        <w:gridCol w:w="3099"/>
        <w:gridCol w:w="3099"/>
        <w:gridCol w:w="3099"/>
      </w:tblGrid>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运动桶</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示例判定条件</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作用</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静止/低速</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路径长度或净位移低于预设阈值</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隔离静止/低速样本，避免稀释转弯效果。</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直行</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航向变化和横向偏移比例均低于直行阈值</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表示直行或近似直行运动。</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轻微转弯</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航向变化或横向偏移比例处于中等范围</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表示轻微转弯、横向偏移或低曲率变向。</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大转弯</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航向变化或横向偏移比例超过大转弯阈值</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表示大角度转弯、掉头、作业式转向等复杂运动。</w:t>
            </w:r>
          </w:p>
        </w:tc>
      </w:tr>
    </w:tbl>
    <w:p>
      <w:pPr>
        <w:spacing w:after="40"/>
      </w:pPr>
    </w:p>
    <w:p>
      <w:pPr>
        <w:spacing w:line="300" w:lineRule="auto" w:after="80"/>
        <w:ind w:firstLine="420"/>
      </w:pPr>
      <w:r>
        <w:rPr>
          <w:rFonts w:ascii="宋体" w:hAnsi="宋体" w:eastAsia="宋体"/>
          <w:b w:val="0"/>
          <w:i w:val="0"/>
          <w:sz w:val="22"/>
        </w:rPr>
        <w:t>上述阈值为实施例，正式保护范围不应限于具体数值。</w:t>
      </w:r>
    </w:p>
    <w:p>
      <w:pPr>
        <w:keepNext/>
        <w:spacing w:before="120" w:after="100"/>
      </w:pPr>
      <w:r>
        <w:rPr>
          <w:rFonts w:ascii="黑体" w:hAnsi="黑体" w:eastAsia="黑体"/>
          <w:b/>
          <w:i w:val="0"/>
          <w:sz w:val="24"/>
        </w:rPr>
        <w:t>步骤 S6A：分层保留式锚点生成</w:t>
      </w:r>
    </w:p>
    <w:p>
      <w:pPr>
        <w:spacing w:line="300" w:lineRule="auto" w:after="80"/>
        <w:ind w:firstLine="420"/>
      </w:pPr>
      <w:r>
        <w:rPr>
          <w:rFonts w:ascii="宋体" w:hAnsi="宋体" w:eastAsia="宋体"/>
          <w:b w:val="0"/>
          <w:i w:val="0"/>
          <w:sz w:val="22"/>
        </w:rPr>
        <w:t>一个优选实施例中，为车辆或作业设备类别预留若干运动族槽位，例如静止/低速、短直行、长直行、左向横移或转弯、右向横移或转弯、大机动转弯。</w:t>
      </w:r>
    </w:p>
    <w:p>
      <w:pPr>
        <w:spacing w:line="300" w:lineRule="auto" w:after="80"/>
        <w:ind w:firstLine="420"/>
      </w:pPr>
      <w:r>
        <w:rPr>
          <w:rFonts w:ascii="宋体" w:hAnsi="宋体" w:eastAsia="宋体"/>
          <w:b w:val="0"/>
          <w:i w:val="0"/>
          <w:sz w:val="22"/>
        </w:rPr>
        <w:t>每个槽位从对应运动桶中选取均值中心、加权中心或代表性样本作为锚点；若某一槽位样本不足，可从相邻运动族回退补足，或使用该类别组的全局代表轨迹补足。该方式将固定数量的候选模式显式分配给港口作业中常见的运动族，能够避免普通聚类被高频直行/静止样本占据，从结构上保证左右转弯和急转弯在有限候选模式中获得表达。</w:t>
      </w:r>
    </w:p>
    <w:p>
      <w:pPr>
        <w:keepNext/>
        <w:spacing w:before="120" w:after="100"/>
      </w:pPr>
      <w:r>
        <w:rPr>
          <w:rFonts w:ascii="黑体" w:hAnsi="黑体" w:eastAsia="黑体"/>
          <w:b/>
          <w:i w:val="0"/>
          <w:sz w:val="24"/>
        </w:rPr>
        <w:t>步骤 S6B：转弯样本加权聚类生成锚点</w:t>
      </w:r>
    </w:p>
    <w:p>
      <w:pPr>
        <w:spacing w:line="300" w:lineRule="auto" w:after="80"/>
        <w:ind w:firstLine="420"/>
      </w:pPr>
      <w:r>
        <w:rPr>
          <w:rFonts w:ascii="宋体" w:hAnsi="宋体" w:eastAsia="宋体"/>
          <w:b w:val="0"/>
          <w:i w:val="0"/>
          <w:sz w:val="22"/>
        </w:rPr>
        <w:t>为提升转弯样本在聚类中的影响力，根据转弯强度设置样本权重。一个实施例中：</w:t>
      </w:r>
    </w:p>
    <w:p>
      <w:pPr>
        <w:spacing w:before="40" w:after="40"/>
        <w:jc w:val="center"/>
      </w:pPr>
      <m:oMath>
        <m:r>
          <m:t>w(Δθ) = 1,    Δθ ≤ </m:t>
        </m:r>
        <m:sSub>
          <m:e>
            <m:r>
              <m:t>θ</m:t>
            </m:r>
          </m:e>
          <m:sub>
            <m:r>
              <m:t>1</m:t>
            </m:r>
          </m:sub>
        </m:sSub>
      </m:oMath>
    </w:p>
    <w:p>
      <w:pPr>
        <w:spacing w:before="40" w:after="40"/>
        <w:jc w:val="center"/>
      </w:pPr>
      <m:oMath>
        <m:r>
          <m:t>w(Δθ) = 1 + (α − 1)(Δθ − </m:t>
        </m:r>
        <m:sSub>
          <m:e>
            <m:r>
              <m:t>θ</m:t>
            </m:r>
          </m:e>
          <m:sub>
            <m:r>
              <m:t>1</m:t>
            </m:r>
          </m:sub>
        </m:sSub>
        <m:r>
          <m:t>)/(</m:t>
        </m:r>
        <m:sSub>
          <m:e>
            <m:r>
              <m:t>θ</m:t>
            </m:r>
          </m:e>
          <m:sub>
            <m:r>
              <m:t>2</m:t>
            </m:r>
          </m:sub>
        </m:sSub>
        <m:r>
          <m:t> − </m:t>
        </m:r>
        <m:sSub>
          <m:e>
            <m:r>
              <m:t>θ</m:t>
            </m:r>
          </m:e>
          <m:sub>
            <m:r>
              <m:t>1</m:t>
            </m:r>
          </m:sub>
        </m:sSub>
        <m:r>
          <m:t>),    </m:t>
        </m:r>
        <m:sSub>
          <m:e>
            <m:r>
              <m:t>θ</m:t>
            </m:r>
          </m:e>
          <m:sub>
            <m:r>
              <m:t>1</m:t>
            </m:r>
          </m:sub>
        </m:sSub>
        <m:r>
          <m:t> &lt; Δθ &lt; </m:t>
        </m:r>
        <m:sSub>
          <m:e>
            <m:r>
              <m:t>θ</m:t>
            </m:r>
          </m:e>
          <m:sub>
            <m:r>
              <m:t>2</m:t>
            </m:r>
          </m:sub>
        </m:sSub>
      </m:oMath>
    </w:p>
    <w:p>
      <w:pPr>
        <w:spacing w:before="40" w:after="40"/>
        <w:jc w:val="center"/>
      </w:pPr>
      <m:oMath>
        <m:r>
          <m:t>w(Δθ) = α,    Δθ ≥ </m:t>
        </m:r>
        <m:sSub>
          <m:e>
            <m:r>
              <m:t>θ</m:t>
            </m:r>
          </m:e>
          <m:sub>
            <m:r>
              <m:t>2</m:t>
            </m:r>
          </m:sub>
        </m:sSub>
      </m:oMath>
      <w:r>
        <w:rPr>
          <w:rFonts w:ascii="宋体" w:hAnsi="宋体" w:eastAsia="宋体"/>
          <w:b w:val="0"/>
          <w:i w:val="0"/>
          <w:sz w:val="22"/>
        </w:rPr>
        <w:t xml:space="preserve">   (3)</w:t>
      </w:r>
    </w:p>
    <w:p>
      <w:pPr>
        <w:spacing w:after="20"/>
      </w:pPr>
    </w:p>
    <w:p>
      <w:pPr>
        <w:spacing w:line="300" w:lineRule="auto" w:after="80"/>
        <w:ind w:firstLine="420"/>
      </w:pPr>
      <w:r>
        <w:rPr>
          <w:rFonts w:ascii="宋体" w:hAnsi="宋体" w:eastAsia="宋体"/>
          <w:b w:val="0"/>
          <w:i w:val="0"/>
          <w:sz w:val="22"/>
        </w:rPr>
        <w:t>式（3）中，w(Δθ) 表示航向变化为 Δθ 时的样本权重，θ1、θ2 和 α 分别为低转弯阈值、高转弯阈值和最大权重系数，可根据数据集分布设置。随后在每个类别组内对展平后的未来轨迹执行带权聚类：</w:t>
      </w:r>
    </w:p>
    <w:p>
      <w:pPr>
        <w:spacing w:before="40" w:after="40"/>
        <w:jc w:val="center"/>
      </w:pPr>
      <m:oMath>
        <m:r>
          <m:t>C* = arg </m:t>
        </m:r>
        <m:sSub>
          <m:e>
            <m:r>
              <m:t>min</m:t>
            </m:r>
          </m:e>
          <m:sub>
            <m:r>
              <m:t>C₁,...,C_M</m:t>
            </m:r>
          </m:sub>
        </m:sSub>
        <m:r>
          <m:t> </m:t>
        </m:r>
        <m:sSub>
          <m:e>
            <m:r>
              <m:t>Σ</m:t>
            </m:r>
          </m:e>
          <m:sub>
            <m:r>
              <m:t>i</m:t>
            </m:r>
          </m:sub>
        </m:sSub>
        <m:r>
          <m:t> </m:t>
        </m:r>
        <m:sSub>
          <m:e>
            <m:r>
              <m:t>w</m:t>
            </m:r>
          </m:e>
          <m:sub>
            <m:r>
              <m:t>i</m:t>
            </m:r>
          </m:sub>
        </m:sSub>
        <m:r>
          <m:t> · </m:t>
        </m:r>
        <m:sSub>
          <m:e>
            <m:r>
              <m:t>min</m:t>
            </m:r>
          </m:e>
          <m:sub>
            <m:r>
              <m:t>m</m:t>
            </m:r>
          </m:sub>
        </m:sSub>
        <m:r>
          <m:t> ||</m:t>
        </m:r>
        <m:sSub>
          <m:e>
            <m:r>
              <m:t>τ</m:t>
            </m:r>
          </m:e>
          <m:sub>
            <m:r>
              <m:t>i</m:t>
            </m:r>
          </m:sub>
        </m:sSub>
        <m:r>
          <m:t> − </m:t>
        </m:r>
        <m:sSub>
          <m:e>
            <m:r>
              <m:t>C</m:t>
            </m:r>
          </m:e>
          <m:sub>
            <m:r>
              <m:t>m</m:t>
            </m:r>
          </m:sub>
        </m:sSub>
        <m:r>
          <m:t>||₂²</m:t>
        </m:r>
      </m:oMath>
      <w:r>
        <w:rPr>
          <w:rFonts w:ascii="宋体" w:hAnsi="宋体" w:eastAsia="宋体"/>
          <w:b w:val="0"/>
          <w:i w:val="0"/>
          <w:sz w:val="22"/>
        </w:rPr>
        <w:t xml:space="preserve">   (4)</w:t>
      </w:r>
    </w:p>
    <w:p>
      <w:pPr>
        <w:spacing w:after="20"/>
      </w:pPr>
    </w:p>
    <w:p>
      <w:pPr>
        <w:spacing w:line="300" w:lineRule="auto" w:after="80"/>
        <w:ind w:firstLine="420"/>
      </w:pPr>
      <w:r>
        <w:rPr>
          <w:rFonts w:ascii="宋体" w:hAnsi="宋体" w:eastAsia="宋体"/>
          <w:b w:val="0"/>
          <w:i w:val="0"/>
          <w:sz w:val="22"/>
        </w:rPr>
        <w:t>式（4）中，C* 表示最优锚点集合，τ_i 表示第 i 条未来轨迹样本，C_m 表示第 m 个锚点中心，w_i 表示第 i 条样本对应的转弯权重，M 表示锚点数量，i 表示样本索引，m 表示锚点索引。最大权重系数可以由训练集运动桶占比、转弯样本数量、验证集误差或业务安全权重确定。若权重过小，转弯长尾样本仍可能被直行样本淹没；若权重过大，可能放大异常轨迹、标注噪声或少量特殊作业样本。因此，在工程实施中可配合权重上限、样本最小数约束和批次均值归一，以兼顾转弯召回和整体稳定性。</w:t>
      </w:r>
    </w:p>
    <w:p>
      <w:pPr>
        <w:keepNext/>
        <w:spacing w:before="120" w:after="100"/>
      </w:pPr>
      <w:r>
        <w:rPr>
          <w:rFonts w:ascii="黑体" w:hAnsi="黑体" w:eastAsia="黑体"/>
          <w:b/>
          <w:i w:val="0"/>
          <w:sz w:val="24"/>
        </w:rPr>
        <w:t>步骤 S7：将锚点用于运动预测头</w:t>
      </w:r>
    </w:p>
    <w:p>
      <w:pPr>
        <w:spacing w:line="300" w:lineRule="auto" w:after="80"/>
        <w:ind w:firstLine="420"/>
      </w:pPr>
      <w:r>
        <w:rPr>
          <w:rFonts w:ascii="宋体" w:hAnsi="宋体" w:eastAsia="宋体"/>
          <w:b w:val="0"/>
          <w:i w:val="0"/>
          <w:sz w:val="22"/>
        </w:rPr>
        <w:t>运动预测模块读取锚点数据，得到各类别组对应的多模态轨迹锚点。训练或推理时，先根据跟踪目标类别选择对应类别组的多个候选锚点，再根据目标当前三维框中心和航向角将局部锚点变换到场景坐标，作为多模态预测的初始参考轨迹和位置编码输入。</w:t>
      </w:r>
    </w:p>
    <w:p>
      <w:pPr>
        <w:keepNext/>
        <w:spacing w:before="120" w:after="100"/>
      </w:pPr>
      <w:r>
        <w:rPr>
          <w:rFonts w:ascii="黑体" w:hAnsi="黑体" w:eastAsia="黑体"/>
          <w:b/>
          <w:i w:val="0"/>
          <w:sz w:val="24"/>
        </w:rPr>
        <w:t>步骤 S7A：预测网络总体架构及转弯感知模块嵌入方式</w:t>
      </w:r>
    </w:p>
    <w:p>
      <w:pPr>
        <w:spacing w:line="300" w:lineRule="auto" w:after="80"/>
        <w:ind w:firstLine="420"/>
      </w:pPr>
      <w:r>
        <w:rPr>
          <w:rFonts w:ascii="宋体" w:hAnsi="宋体" w:eastAsia="宋体"/>
          <w:b w:val="0"/>
          <w:i w:val="0"/>
          <w:sz w:val="22"/>
        </w:rPr>
        <w:t>本发明不限定运动预测网络必须采用特定骨干网络、特定层数或特定端到端框架。一个通用实施例中，预测网络包括感知特征输入模块、目标状态编码模块、场景交互编码模块、多模态轨迹解码模块、模式评分分支和轨迹回归分支。</w:t>
      </w:r>
    </w:p>
    <w:p>
      <w:pPr>
        <w:spacing w:line="300" w:lineRule="auto" w:after="80"/>
        <w:ind w:firstLine="420"/>
      </w:pPr>
      <w:r>
        <w:rPr>
          <w:rFonts w:ascii="宋体" w:hAnsi="宋体" w:eastAsia="宋体"/>
          <w:b w:val="0"/>
          <w:i w:val="0"/>
          <w:sz w:val="22"/>
        </w:rPr>
        <w:t>感知特征输入模块用于接收点云、图像、多传感器融合特征或由上游检测/跟踪模块输出的目标历史状态；目标状态编码模块用于编码目标类别、当前位置、尺寸、航向角、历史运动状态等信息；场景交互编码模块用于建模目标之间以及目标与港区环境之间的交互关系；多模态轨迹解码模块基于上述特征和转弯感知锚点先验生成多个候选未来轨迹；模式评分分支输出各候选轨迹的置信度，轨迹回归分支输出各候选轨迹在未来时间步的位置偏移或绝对坐标。</w:t>
      </w:r>
    </w:p>
    <w:p>
      <w:pPr>
        <w:spacing w:line="300" w:lineRule="auto" w:after="80"/>
        <w:ind w:firstLine="420"/>
      </w:pPr>
      <w:r>
        <w:rPr>
          <w:rFonts w:ascii="宋体" w:hAnsi="宋体" w:eastAsia="宋体"/>
          <w:b w:val="0"/>
          <w:i w:val="0"/>
          <w:sz w:val="22"/>
        </w:rPr>
        <w:t>转弯感知模块可嵌入在以下位置：其一，在训练前或训练过程中生成按类别组和运动族组织的锚点库；其二，在预测网络输入或解码阶段，根据目标类别、中心和航向角选择对应锚点并转换到场景坐标；其三，在训练损失阶段，根据真实未来轨迹所属运动桶选择监督模式并调整损失权重；其四，在评估阶段，比较最高置信度候选和最优候选，用于判断后续应优化候选覆盖、模式评分还是上游检测跟踪。</w:t>
      </w:r>
    </w:p>
    <w:p>
      <w:pPr>
        <w:spacing w:line="300" w:lineRule="auto" w:after="80"/>
        <w:ind w:firstLine="420"/>
      </w:pPr>
      <w:r>
        <w:rPr>
          <w:rFonts w:ascii="宋体" w:hAnsi="宋体" w:eastAsia="宋体"/>
          <w:b w:val="0"/>
          <w:i w:val="0"/>
          <w:sz w:val="22"/>
        </w:rPr>
        <w:t>因此，本发明的保护重点不在于某一种特定网络骨干，而在于将目标局部坐标下的转弯度量、港口类别分组、分层转弯锚点、多模态轨迹解码和转弯分桶训练损失组合到运动预测网络中的方法。该组合可应用于基于卷积、注意力机制、图神经网络、Transformer 或多传感器融合的不同运动预测网络。</w:t>
      </w:r>
    </w:p>
    <w:p>
      <w:pPr>
        <w:keepNext/>
        <w:spacing w:before="120" w:after="100"/>
      </w:pPr>
      <w:r>
        <w:rPr>
          <w:rFonts w:ascii="黑体" w:hAnsi="黑体" w:eastAsia="黑体"/>
          <w:b/>
          <w:i w:val="0"/>
          <w:sz w:val="24"/>
        </w:rPr>
        <w:t>步骤 S8：平均位移误差与终点位移误差联合模式分配</w:t>
      </w:r>
    </w:p>
    <w:p>
      <w:pPr>
        <w:spacing w:line="300" w:lineRule="auto" w:after="80"/>
        <w:ind w:firstLine="420"/>
      </w:pPr>
      <w:r>
        <w:rPr>
          <w:rFonts w:ascii="宋体" w:hAnsi="宋体" w:eastAsia="宋体"/>
          <w:b w:val="0"/>
          <w:i w:val="0"/>
          <w:sz w:val="22"/>
        </w:rPr>
        <w:t>对每个目标，模型输出多个候选未来轨迹及其置信度。训练时计算每个候选模式的平均位移误差和终点位移误差，并用下式选择监督模式：</w:t>
      </w:r>
    </w:p>
    <w:p>
      <w:pPr>
        <w:spacing w:before="40" w:after="40"/>
        <w:jc w:val="center"/>
      </w:pPr>
      <m:oMath>
        <m:sSub>
          <m:e>
            <m:r>
              <m:t>s</m:t>
            </m:r>
          </m:e>
          <m:sub>
            <m:r>
              <m:t>k</m:t>
            </m:r>
          </m:sub>
        </m:sSub>
        <m:r>
          <m:t> = </m:t>
        </m:r>
        <m:sSub>
          <m:e>
            <m:r>
              <m:t>ADE</m:t>
            </m:r>
          </m:e>
          <m:sub>
            <m:r>
              <m:t>k</m:t>
            </m:r>
          </m:sub>
        </m:sSub>
        <m:r>
          <m:t> + λ · </m:t>
        </m:r>
        <m:sSub>
          <m:e>
            <m:r>
              <m:t>FDE</m:t>
            </m:r>
          </m:e>
          <m:sub>
            <m:r>
              <m:t>k</m:t>
            </m:r>
          </m:sub>
        </m:sSub>
      </m:oMath>
    </w:p>
    <w:p>
      <w:pPr>
        <w:spacing w:before="40" w:after="40"/>
        <w:jc w:val="center"/>
      </w:pPr>
      <m:oMath>
        <m:r>
          <m:t>k* = arg </m:t>
        </m:r>
        <m:sSub>
          <m:e>
            <m:r>
              <m:t>min</m:t>
            </m:r>
          </m:e>
          <m:sub>
            <m:r>
              <m:t>k</m:t>
            </m:r>
          </m:sub>
        </m:sSub>
        <m:r>
          <m:t> </m:t>
        </m:r>
        <m:sSub>
          <m:e>
            <m:r>
              <m:t>s</m:t>
            </m:r>
          </m:e>
          <m:sub>
            <m:r>
              <m:t>k</m:t>
            </m:r>
          </m:sub>
        </m:sSub>
      </m:oMath>
      <w:r>
        <w:rPr>
          <w:rFonts w:ascii="宋体" w:hAnsi="宋体" w:eastAsia="宋体"/>
          <w:b w:val="0"/>
          <w:i w:val="0"/>
          <w:sz w:val="22"/>
        </w:rPr>
        <w:t xml:space="preserve">   (5)</w:t>
      </w:r>
    </w:p>
    <w:p>
      <w:pPr>
        <w:spacing w:after="20"/>
      </w:pPr>
    </w:p>
    <w:p>
      <w:pPr>
        <w:spacing w:line="300" w:lineRule="auto" w:after="80"/>
        <w:ind w:firstLine="420"/>
      </w:pPr>
      <w:r>
        <w:rPr>
          <w:rFonts w:ascii="宋体" w:hAnsi="宋体" w:eastAsia="宋体"/>
          <w:b w:val="0"/>
          <w:i w:val="0"/>
          <w:sz w:val="22"/>
        </w:rPr>
        <w:t>式（5）中，k 表示候选预测模式索引，s_k 表示第 k 个候选模式的联合误差，ADE_k 表示第 k 个候选模式的平均位移误差，FDE_k 表示第 k 个候选模式的终点位移误差，λ 表示终点误差权重，k* 表示被选为监督目标的候选模式。相比只用平均位移误差选择模式，该方式能让训练监督更关注终点落点，适合港口大车转弯、拖挂车长距离移动和作业式转向。</w:t>
      </w:r>
    </w:p>
    <w:p>
      <w:pPr>
        <w:keepNext/>
        <w:spacing w:before="120" w:after="100"/>
      </w:pPr>
      <w:r>
        <w:rPr>
          <w:rFonts w:ascii="黑体" w:hAnsi="黑体" w:eastAsia="黑体"/>
          <w:b/>
          <w:i w:val="0"/>
          <w:sz w:val="24"/>
        </w:rPr>
        <w:t>步骤 S9：转弯分桶样本加权损失</w:t>
      </w:r>
    </w:p>
    <w:p>
      <w:pPr>
        <w:spacing w:line="300" w:lineRule="auto" w:after="80"/>
        <w:ind w:firstLine="420"/>
      </w:pPr>
      <w:r>
        <w:rPr>
          <w:rFonts w:ascii="宋体" w:hAnsi="宋体" w:eastAsia="宋体"/>
          <w:b w:val="0"/>
          <w:i w:val="0"/>
          <w:sz w:val="22"/>
        </w:rPr>
        <w:t>训练时根据真实未来轨迹所属运动桶设置样本权重。一个实施例中：</w:t>
      </w:r>
    </w:p>
    <w:tbl>
      <w:tblPr>
        <w:tblW w:type="auto" w:w="0"/>
        <w:jc w:val="center"/>
        <w:tblLayout w:type="fixed"/>
        <w:tblLook w:firstColumn="1" w:firstRow="1" w:lastColumn="0" w:lastRow="0" w:noHBand="0" w:noVBand="1" w:val="04A0"/>
      </w:tblPr>
      <w:tblGrid>
        <w:gridCol w:w="3099"/>
        <w:gridCol w:w="3099"/>
        <w:gridCol w:w="3099"/>
      </w:tblGrid>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运动桶</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回归/轨迹损失权重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模式分类附加权重</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静止/低速</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低于或等于基准权重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基准权重</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直行</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基准权重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基准权重</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轻微转弯</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高于基准权重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高于基准权重</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大转弯</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高于轻微转弯权重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最高分类权重</w:t>
            </w:r>
          </w:p>
        </w:tc>
      </w:tr>
    </w:tbl>
    <w:p>
      <w:pPr>
        <w:spacing w:after="40"/>
      </w:pPr>
    </w:p>
    <w:p>
      <w:pPr>
        <w:spacing w:line="300" w:lineRule="auto" w:after="80"/>
        <w:ind w:firstLine="420"/>
      </w:pPr>
      <w:r>
        <w:rPr>
          <w:rFonts w:ascii="宋体" w:hAnsi="宋体" w:eastAsia="宋体"/>
          <w:b w:val="0"/>
          <w:i w:val="0"/>
          <w:sz w:val="22"/>
        </w:rPr>
        <w:t>损失可写为：</w:t>
      </w:r>
    </w:p>
    <w:p>
      <w:pPr>
        <w:spacing w:before="40" w:after="40"/>
        <w:jc w:val="center"/>
      </w:pPr>
      <m:oMath>
        <m:r>
          <m:t>L = </m:t>
        </m:r>
        <m:sSub>
          <m:e>
            <m:r>
              <m:t>β</m:t>
            </m:r>
          </m:e>
          <m:sub>
            <m:r>
              <m:t>cls</m:t>
            </m:r>
          </m:sub>
        </m:sSub>
        <m:r>
          <m:t> · </m:t>
        </m:r>
        <m:sSub>
          <m:e>
            <m:r>
              <m:t>L</m:t>
            </m:r>
          </m:e>
          <m:sub>
            <m:r>
              <m:t>cls</m:t>
            </m:r>
          </m:sub>
        </m:sSub>
        <m:r>
          <m:t> + </m:t>
        </m:r>
        <m:sSub>
          <m:e>
            <m:r>
              <m:t>β</m:t>
            </m:r>
          </m:e>
          <m:sub>
            <m:r>
              <m:t>reg</m:t>
            </m:r>
          </m:sub>
        </m:sSub>
        <m:r>
          <m:t> · </m:t>
        </m:r>
        <m:sSub>
          <m:e>
            <m:r>
              <m:t>L</m:t>
            </m:r>
          </m:e>
          <m:sub>
            <m:r>
              <m:t>reg</m:t>
            </m:r>
          </m:sub>
        </m:sSub>
      </m:oMath>
    </w:p>
    <w:p>
      <w:pPr>
        <w:spacing w:before="40" w:after="40"/>
        <w:jc w:val="center"/>
      </w:pPr>
      <m:oMath>
        <m:r>
          <m:t>+ </m:t>
        </m:r>
        <m:sSub>
          <m:e>
            <m:r>
              <m:t>β</m:t>
            </m:r>
          </m:e>
          <m:sub>
            <m:r>
              <m:t>fde</m:t>
            </m:r>
          </m:sub>
        </m:sSub>
        <m:r>
          <m:t> · </m:t>
        </m:r>
        <m:sSub>
          <m:e>
            <m:r>
              <m:t>L</m:t>
            </m:r>
          </m:e>
          <m:sub>
            <m:r>
              <m:t>fde</m:t>
            </m:r>
          </m:sub>
        </m:sSub>
      </m:oMath>
      <w:r>
        <w:rPr>
          <w:rFonts w:ascii="宋体" w:hAnsi="宋体" w:eastAsia="宋体"/>
          <w:b w:val="0"/>
          <w:i w:val="0"/>
          <w:sz w:val="22"/>
        </w:rPr>
        <w:t xml:space="preserve">   (6)</w:t>
      </w:r>
    </w:p>
    <w:p>
      <w:pPr>
        <w:spacing w:after="20"/>
      </w:pPr>
    </w:p>
    <w:p>
      <w:pPr>
        <w:spacing w:line="300" w:lineRule="auto" w:after="80"/>
        <w:ind w:firstLine="420"/>
      </w:pPr>
      <w:r>
        <w:rPr>
          <w:rFonts w:ascii="宋体" w:hAnsi="宋体" w:eastAsia="宋体"/>
          <w:b w:val="0"/>
          <w:i w:val="0"/>
          <w:sz w:val="22"/>
        </w:rPr>
        <w:t>式（6）中，L 表示总损失，L_cls、L_reg 和 L_fde 分别表示模式分类损失、轨迹回归损失和终点误差辅助项，β_cls、β_reg 和 β_fde 分别表示对应损失项权重；其中 cls、reg 和 fde 分别对应分类项、轨迹回归项和终点误差项。不同运动桶的权重可按批次均值归一，以保持整体损失尺度稳定。具体权重数值为实施例，不限定保护范围。</w:t>
      </w:r>
    </w:p>
    <w:p>
      <w:pPr>
        <w:keepNext/>
        <w:spacing w:before="120" w:after="100"/>
      </w:pPr>
      <w:r>
        <w:rPr>
          <w:rFonts w:ascii="黑体" w:hAnsi="黑体" w:eastAsia="黑体"/>
          <w:b/>
          <w:i w:val="0"/>
          <w:sz w:val="24"/>
        </w:rPr>
        <w:t>步骤 S10：最高置信度候选/最优候选诊断与失效归因</w:t>
      </w:r>
    </w:p>
    <w:p>
      <w:pPr>
        <w:spacing w:line="300" w:lineRule="auto" w:after="80"/>
        <w:ind w:firstLine="420"/>
      </w:pPr>
      <w:r>
        <w:rPr>
          <w:rFonts w:ascii="宋体" w:hAnsi="宋体" w:eastAsia="宋体"/>
          <w:b w:val="0"/>
          <w:i w:val="0"/>
          <w:sz w:val="22"/>
        </w:rPr>
        <w:t>评估时同时统计最优候选指标和最高置信度候选指标。最优候选指标指多个候选轨迹中事后按真实轨迹选择误差最小的一条，仅用于诊断；最高置信度候选指标指模型实际推理时置信度最高的候选轨迹。二者差异可用于定位：</w:t>
      </w:r>
    </w:p>
    <w:tbl>
      <w:tblPr>
        <w:tblW w:type="auto" w:w="0"/>
        <w:jc w:val="center"/>
        <w:tblLayout w:type="fixed"/>
        <w:tblLook w:firstColumn="1" w:firstRow="1" w:lastColumn="0" w:lastRow="0" w:noHBand="0" w:noVBand="1" w:val="04A0"/>
      </w:tblPr>
      <w:tblGrid>
        <w:gridCol w:w="3099"/>
        <w:gridCol w:w="3099"/>
        <w:gridCol w:w="3099"/>
      </w:tblGrid>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现象</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含义</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优化方向</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最高置信度误差较大，最优候选误差较小</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候选轨迹里已有较优结果，但分类分数选错。</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优化模式评分、监督分配或分类损失加权。</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最高置信度误差和最优候选误差均较大</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候选本身覆盖不足。</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优化锚点生成或轨迹回归能力。</w:t>
            </w:r>
          </w:p>
        </w:tc>
      </w:tr>
      <w:tr>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目标未匹配</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运动预测模块未获得正确目标。</w:t>
            </w:r>
          </w:p>
        </w:tc>
        <w:tc>
          <w:tcPr>
            <w:tcW w:type="dxa" w:w="3099"/>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优化目标检测或跟踪质量。</w:t>
            </w:r>
          </w:p>
        </w:tc>
      </w:tr>
    </w:tbl>
    <w:p>
      <w:pPr>
        <w:spacing w:after="40"/>
      </w:pPr>
    </w:p>
    <w:p>
      <w:pPr>
        <w:keepNext/>
        <w:spacing w:before="200" w:after="100"/>
      </w:pPr>
      <w:r>
        <w:rPr>
          <w:rFonts w:ascii="黑体" w:hAnsi="黑体" w:eastAsia="黑体"/>
          <w:b/>
          <w:i w:val="0"/>
          <w:sz w:val="28"/>
        </w:rPr>
        <w:t>四、创新点</w:t>
      </w:r>
    </w:p>
    <w:p>
      <w:pPr>
        <w:spacing w:line="300" w:lineRule="auto" w:after="80"/>
      </w:pPr>
      <w:r>
        <w:rPr>
          <w:rFonts w:ascii="宋体" w:hAnsi="宋体" w:eastAsia="宋体"/>
          <w:b w:val="0"/>
          <w:i w:val="0"/>
          <w:sz w:val="22"/>
        </w:rPr>
        <w:t>1. 将港口运动预测问题拆成“候选覆盖”和“模式选择”两层，分别用转弯感知锚点和平均位移误差/终点位移误差联合分配及转弯加权训练解决。</w:t>
      </w:r>
    </w:p>
    <w:p>
      <w:pPr>
        <w:spacing w:line="300" w:lineRule="auto" w:after="80"/>
      </w:pPr>
      <w:r>
        <w:rPr>
          <w:rFonts w:ascii="宋体" w:hAnsi="宋体" w:eastAsia="宋体"/>
          <w:b w:val="0"/>
          <w:i w:val="0"/>
          <w:sz w:val="22"/>
        </w:rPr>
        <w:t>2. 在目标局部坐标系下统一度量转弯强度，使不同朝向和不同港区位置的轨迹可比较。</w:t>
      </w:r>
    </w:p>
    <w:p>
      <w:pPr>
        <w:spacing w:line="300" w:lineRule="auto" w:after="80"/>
      </w:pPr>
      <w:r>
        <w:rPr>
          <w:rFonts w:ascii="宋体" w:hAnsi="宋体" w:eastAsia="宋体"/>
          <w:b w:val="0"/>
          <w:i w:val="0"/>
          <w:sz w:val="22"/>
        </w:rPr>
        <w:t>3. 将港口车辆/作业设备、行人和锥桶分别成组，并在车辆/作业设备组内设置静止、短直行、长直行、左/右转弯和大机动转弯等运动族槽位。</w:t>
      </w:r>
    </w:p>
    <w:p>
      <w:pPr>
        <w:spacing w:line="300" w:lineRule="auto" w:after="80"/>
      </w:pPr>
      <w:r>
        <w:rPr>
          <w:rFonts w:ascii="宋体" w:hAnsi="宋体" w:eastAsia="宋体"/>
          <w:b w:val="0"/>
          <w:i w:val="0"/>
          <w:sz w:val="22"/>
        </w:rPr>
        <w:t>4. 通过分层保留式锚点生成，在候选模式数量不增加的前提下为真实转弯候选预留表达空间；带权聚类可作为各槽位代表轨迹生成或补充实施方式。</w:t>
      </w:r>
    </w:p>
    <w:p>
      <w:pPr>
        <w:spacing w:line="300" w:lineRule="auto" w:after="80"/>
      </w:pPr>
      <w:r>
        <w:rPr>
          <w:rFonts w:ascii="宋体" w:hAnsi="宋体" w:eastAsia="宋体"/>
          <w:b w:val="0"/>
          <w:i w:val="0"/>
          <w:sz w:val="22"/>
        </w:rPr>
        <w:t>5. 将锥桶等近静止目标独立成组，降低静态/抖动目标对车辆锚点的污染。</w:t>
      </w:r>
    </w:p>
    <w:p>
      <w:pPr>
        <w:spacing w:line="300" w:lineRule="auto" w:after="80"/>
      </w:pPr>
      <w:r>
        <w:rPr>
          <w:rFonts w:ascii="宋体" w:hAnsi="宋体" w:eastAsia="宋体"/>
          <w:b w:val="0"/>
          <w:i w:val="0"/>
          <w:sz w:val="22"/>
        </w:rPr>
        <w:t>6. 训练时用平均位移误差与终点位移误差的联合度量选择监督模式，并按运动桶对轨迹损失和/或模式分类损失加权。</w:t>
      </w:r>
    </w:p>
    <w:p>
      <w:pPr>
        <w:spacing w:line="300" w:lineRule="auto" w:after="80"/>
      </w:pPr>
      <w:r>
        <w:rPr>
          <w:rFonts w:ascii="宋体" w:hAnsi="宋体" w:eastAsia="宋体"/>
          <w:b w:val="0"/>
          <w:i w:val="0"/>
          <w:sz w:val="22"/>
        </w:rPr>
        <w:t>7. 通过批次均值归一控制转弯加权后的损失尺度，避免多任务训练中整体权重漂移。</w:t>
      </w:r>
    </w:p>
    <w:p>
      <w:pPr>
        <w:spacing w:line="300" w:lineRule="auto" w:after="80"/>
      </w:pPr>
      <w:r>
        <w:rPr>
          <w:rFonts w:ascii="宋体" w:hAnsi="宋体" w:eastAsia="宋体"/>
          <w:b w:val="0"/>
          <w:i w:val="0"/>
          <w:sz w:val="22"/>
        </w:rPr>
        <w:t>8. 引入最高置信度候选/最优候选差异诊断体系，将转弯预测失败归因到候选覆盖、模式评分或目标漏检；该诊断体系可作为优化工具，不必将未充分验证的模式评分增强结果作为主要保护效果。</w:t>
      </w:r>
    </w:p>
    <w:p>
      <w:pPr>
        <w:keepNext/>
        <w:spacing w:before="200" w:after="100"/>
      </w:pPr>
      <w:r>
        <w:rPr>
          <w:rFonts w:ascii="黑体" w:hAnsi="黑体" w:eastAsia="黑体"/>
          <w:b/>
          <w:i w:val="0"/>
          <w:sz w:val="28"/>
        </w:rPr>
        <w:t>五、需要保护的要点</w:t>
      </w:r>
    </w:p>
    <w:p>
      <w:pPr>
        <w:spacing w:line="300" w:lineRule="auto" w:after="80"/>
      </w:pPr>
      <w:r>
        <w:rPr>
          <w:rFonts w:ascii="宋体" w:hAnsi="宋体" w:eastAsia="宋体"/>
          <w:b w:val="0"/>
          <w:i w:val="0"/>
          <w:sz w:val="22"/>
        </w:rPr>
        <w:t>1. 一种从港口自动驾驶训练数据中提取未来轨迹，并根据目标类别、航向角和未来轨迹有效性生成运动锚点的方法。</w:t>
      </w:r>
    </w:p>
    <w:p>
      <w:pPr>
        <w:spacing w:line="300" w:lineRule="auto" w:after="80"/>
      </w:pPr>
      <w:r>
        <w:rPr>
          <w:rFonts w:ascii="宋体" w:hAnsi="宋体" w:eastAsia="宋体"/>
          <w:b w:val="0"/>
          <w:i w:val="0"/>
          <w:sz w:val="22"/>
        </w:rPr>
        <w:t>2. 一种将未来轨迹变换到目标局部坐标系，并令局部 +Y 方向表示目标前方的轨迹归一方法。</w:t>
      </w:r>
    </w:p>
    <w:p>
      <w:pPr>
        <w:spacing w:line="300" w:lineRule="auto" w:after="80"/>
      </w:pPr>
      <w:r>
        <w:rPr>
          <w:rFonts w:ascii="宋体" w:hAnsi="宋体" w:eastAsia="宋体"/>
          <w:b w:val="0"/>
          <w:i w:val="0"/>
          <w:sz w:val="22"/>
        </w:rPr>
        <w:t>3. 一种根据路径长度、净位移、航向变化和横向偏移比例划分静止/直行/轻微转弯/大转弯运动桶的方法。</w:t>
      </w:r>
    </w:p>
    <w:p>
      <w:pPr>
        <w:spacing w:line="300" w:lineRule="auto" w:after="80"/>
      </w:pPr>
      <w:r>
        <w:rPr>
          <w:rFonts w:ascii="宋体" w:hAnsi="宋体" w:eastAsia="宋体"/>
          <w:b w:val="0"/>
          <w:i w:val="0"/>
          <w:sz w:val="22"/>
        </w:rPr>
        <w:t>4. 一种为固定数量的预测模式预留静止、短直行、长直行、左/右转弯和急转弯槽位的分层锚点生成方法。</w:t>
      </w:r>
    </w:p>
    <w:p>
      <w:pPr>
        <w:spacing w:line="300" w:lineRule="auto" w:after="80"/>
      </w:pPr>
      <w:r>
        <w:rPr>
          <w:rFonts w:ascii="宋体" w:hAnsi="宋体" w:eastAsia="宋体"/>
          <w:b w:val="0"/>
          <w:i w:val="0"/>
          <w:sz w:val="22"/>
        </w:rPr>
        <w:t>5. 一种基于转弯强度设置样本权重，并使用带权聚类生成或补充分层锚点代表轨迹的方法。</w:t>
      </w:r>
    </w:p>
    <w:p>
      <w:pPr>
        <w:spacing w:line="300" w:lineRule="auto" w:after="80"/>
      </w:pPr>
      <w:r>
        <w:rPr>
          <w:rFonts w:ascii="宋体" w:hAnsi="宋体" w:eastAsia="宋体"/>
          <w:b w:val="0"/>
          <w:i w:val="0"/>
          <w:sz w:val="22"/>
        </w:rPr>
        <w:t>6. 一种将行人、港口车辆类目标和锥桶分别分组生成运动锚点的方法。</w:t>
      </w:r>
    </w:p>
    <w:p>
      <w:pPr>
        <w:spacing w:line="300" w:lineRule="auto" w:after="80"/>
      </w:pPr>
      <w:r>
        <w:rPr>
          <w:rFonts w:ascii="宋体" w:hAnsi="宋体" w:eastAsia="宋体"/>
          <w:b w:val="0"/>
          <w:i w:val="0"/>
          <w:sz w:val="22"/>
        </w:rPr>
        <w:t>7. 一种将转弯感知锚点加载到多模态运动预测网络，并根据目标类别、中心和航向变换到场景坐标后参与运动预测的方法。</w:t>
      </w:r>
    </w:p>
    <w:p>
      <w:pPr>
        <w:spacing w:line="300" w:lineRule="auto" w:after="80"/>
      </w:pPr>
      <w:r>
        <w:rPr>
          <w:rFonts w:ascii="宋体" w:hAnsi="宋体" w:eastAsia="宋体"/>
          <w:b w:val="0"/>
          <w:i w:val="0"/>
          <w:sz w:val="22"/>
        </w:rPr>
        <w:t>8. 一种采用平均位移误差与终点位移误差联合度量选择多模态轨迹监督模式的训练方法。</w:t>
      </w:r>
    </w:p>
    <w:p>
      <w:pPr>
        <w:spacing w:line="300" w:lineRule="auto" w:after="80"/>
      </w:pPr>
      <w:r>
        <w:rPr>
          <w:rFonts w:ascii="宋体" w:hAnsi="宋体" w:eastAsia="宋体"/>
          <w:b w:val="0"/>
          <w:i w:val="0"/>
          <w:sz w:val="22"/>
        </w:rPr>
        <w:t>9. 一种按转弯运动桶对轨迹回归损失、终点误差项和/或模式分类损失进行加权并归一化的方法。</w:t>
      </w:r>
    </w:p>
    <w:p>
      <w:pPr>
        <w:spacing w:line="300" w:lineRule="auto" w:after="80"/>
      </w:pPr>
      <w:r>
        <w:rPr>
          <w:rFonts w:ascii="宋体" w:hAnsi="宋体" w:eastAsia="宋体"/>
          <w:b w:val="0"/>
          <w:i w:val="0"/>
          <w:sz w:val="22"/>
        </w:rPr>
        <w:t>10. 一种利用最高置信度候选与最优候选指标差异对运动预测失败进行候选覆盖不足、模式评分错误和目标漏检分类的方法。</w:t>
      </w:r>
    </w:p>
    <w:p>
      <w:pPr>
        <w:spacing w:line="300" w:lineRule="auto" w:after="80"/>
      </w:pPr>
      <w:r>
        <w:rPr>
          <w:rFonts w:ascii="宋体" w:hAnsi="宋体" w:eastAsia="宋体"/>
          <w:b w:val="0"/>
          <w:i w:val="0"/>
          <w:sz w:val="22"/>
        </w:rPr>
        <w:t>11. 实现上述方法的装置、电子设备和计算机可读存储介质。</w:t>
      </w:r>
    </w:p>
    <w:p>
      <w:pPr>
        <w:keepNext/>
        <w:spacing w:before="200" w:after="100"/>
      </w:pPr>
      <w:r>
        <w:rPr>
          <w:rFonts w:ascii="黑体" w:hAnsi="黑体" w:eastAsia="黑体"/>
          <w:b/>
          <w:i w:val="0"/>
          <w:sz w:val="28"/>
        </w:rPr>
        <w:t>六、建议权利要求布局草案</w:t>
      </w:r>
    </w:p>
    <w:p>
      <w:pPr>
        <w:keepNext/>
        <w:spacing w:before="120" w:after="100"/>
      </w:pPr>
      <w:r>
        <w:rPr>
          <w:rFonts w:ascii="黑体" w:hAnsi="黑体" w:eastAsia="黑体"/>
          <w:b/>
          <w:i w:val="0"/>
          <w:sz w:val="24"/>
        </w:rPr>
        <w:t>独立权利要求1：方法</w:t>
      </w:r>
    </w:p>
    <w:p>
      <w:pPr>
        <w:spacing w:line="300" w:lineRule="auto" w:after="80"/>
        <w:ind w:firstLine="420"/>
      </w:pPr>
      <w:r>
        <w:rPr>
          <w:rFonts w:ascii="宋体" w:hAnsi="宋体" w:eastAsia="宋体"/>
          <w:b w:val="0"/>
          <w:i w:val="0"/>
          <w:sz w:val="22"/>
        </w:rPr>
        <w:t>一种面向港口自动驾驶车辆的转弯感知多模态运动预测方法，包括：</w:t>
      </w:r>
    </w:p>
    <w:p>
      <w:pPr>
        <w:spacing w:line="300" w:lineRule="auto" w:after="80"/>
      </w:pPr>
      <w:r>
        <w:rPr>
          <w:rFonts w:ascii="宋体" w:hAnsi="宋体" w:eastAsia="宋体"/>
          <w:b w:val="0"/>
          <w:i w:val="0"/>
          <w:sz w:val="22"/>
        </w:rPr>
        <w:t>1. 获取目标的类别、当前位姿、航向角、未来轨迹及未来轨迹有效掩码；</w:t>
      </w:r>
    </w:p>
    <w:p>
      <w:pPr>
        <w:spacing w:line="300" w:lineRule="auto" w:after="80"/>
      </w:pPr>
      <w:r>
        <w:rPr>
          <w:rFonts w:ascii="宋体" w:hAnsi="宋体" w:eastAsia="宋体"/>
          <w:b w:val="0"/>
          <w:i w:val="0"/>
          <w:sz w:val="22"/>
        </w:rPr>
        <w:t>2. 将所述未来轨迹按照所述目标的航向角变换到目标局部坐标系；</w:t>
      </w:r>
    </w:p>
    <w:p>
      <w:pPr>
        <w:spacing w:line="300" w:lineRule="auto" w:after="80"/>
      </w:pPr>
      <w:r>
        <w:rPr>
          <w:rFonts w:ascii="宋体" w:hAnsi="宋体" w:eastAsia="宋体"/>
          <w:b w:val="0"/>
          <w:i w:val="0"/>
          <w:sz w:val="22"/>
        </w:rPr>
        <w:t>3. 根据目标局部坐标系下的路径长度、净位移、航向变化和横向偏移比例确定目标未来运动所属的运动桶；</w:t>
      </w:r>
    </w:p>
    <w:p>
      <w:pPr>
        <w:spacing w:line="300" w:lineRule="auto" w:after="80"/>
      </w:pPr>
      <w:r>
        <w:rPr>
          <w:rFonts w:ascii="宋体" w:hAnsi="宋体" w:eastAsia="宋体"/>
          <w:b w:val="0"/>
          <w:i w:val="0"/>
          <w:sz w:val="22"/>
        </w:rPr>
        <w:t>4. 根据目标类别和运动桶生成或选择多模态运动锚点；</w:t>
      </w:r>
    </w:p>
    <w:p>
      <w:pPr>
        <w:spacing w:line="300" w:lineRule="auto" w:after="80"/>
      </w:pPr>
      <w:r>
        <w:rPr>
          <w:rFonts w:ascii="宋体" w:hAnsi="宋体" w:eastAsia="宋体"/>
          <w:b w:val="0"/>
          <w:i w:val="0"/>
          <w:sz w:val="22"/>
        </w:rPr>
        <w:t>5. 将多模态运动锚点输入运动预测网络，输出多个候选未来轨迹及其置信度；</w:t>
      </w:r>
    </w:p>
    <w:p>
      <w:pPr>
        <w:spacing w:line="300" w:lineRule="auto" w:after="80"/>
      </w:pPr>
      <w:r>
        <w:rPr>
          <w:rFonts w:ascii="宋体" w:hAnsi="宋体" w:eastAsia="宋体"/>
          <w:b w:val="0"/>
          <w:i w:val="0"/>
          <w:sz w:val="22"/>
        </w:rPr>
        <w:t>6. 在训练阶段根据候选未来轨迹相对于真实未来轨迹的平均位移误差和终点位移误差确定监督模式，并根据所述运动桶对训练损失进行加权；</w:t>
      </w:r>
    </w:p>
    <w:p>
      <w:pPr>
        <w:spacing w:line="300" w:lineRule="auto" w:after="80"/>
      </w:pPr>
      <w:r>
        <w:rPr>
          <w:rFonts w:ascii="宋体" w:hAnsi="宋体" w:eastAsia="宋体"/>
          <w:b w:val="0"/>
          <w:i w:val="0"/>
          <w:sz w:val="22"/>
        </w:rPr>
        <w:t>7. 在推理阶段根据候选未来轨迹置信度输出目标未来轨迹。</w:t>
      </w:r>
    </w:p>
    <w:p>
      <w:pPr>
        <w:keepNext/>
        <w:spacing w:before="120" w:after="100"/>
      </w:pPr>
      <w:r>
        <w:rPr>
          <w:rFonts w:ascii="黑体" w:hAnsi="黑体" w:eastAsia="黑体"/>
          <w:b/>
          <w:i w:val="0"/>
          <w:sz w:val="24"/>
        </w:rPr>
        <w:t>从属权利要求建议</w:t>
      </w:r>
    </w:p>
    <w:p>
      <w:pPr>
        <w:spacing w:line="300" w:lineRule="auto" w:after="80"/>
      </w:pPr>
      <w:r>
        <w:rPr>
          <w:rFonts w:ascii="宋体" w:hAnsi="宋体" w:eastAsia="宋体"/>
          <w:b w:val="0"/>
          <w:i w:val="0"/>
          <w:sz w:val="22"/>
        </w:rPr>
        <w:t>1. 所述目标局部坐标系中，局部 +Y 方向表示目标当前朝向前方。</w:t>
      </w:r>
    </w:p>
    <w:p>
      <w:pPr>
        <w:spacing w:line="300" w:lineRule="auto" w:after="80"/>
      </w:pPr>
      <w:r>
        <w:rPr>
          <w:rFonts w:ascii="宋体" w:hAnsi="宋体" w:eastAsia="宋体"/>
          <w:b w:val="0"/>
          <w:i w:val="0"/>
          <w:sz w:val="22"/>
        </w:rPr>
        <w:t>2. 所述运动桶包括静止/低速、直行、轻微转弯和大转弯。</w:t>
      </w:r>
    </w:p>
    <w:p>
      <w:pPr>
        <w:spacing w:line="300" w:lineRule="auto" w:after="80"/>
      </w:pPr>
      <w:r>
        <w:rPr>
          <w:rFonts w:ascii="宋体" w:hAnsi="宋体" w:eastAsia="宋体"/>
          <w:b w:val="0"/>
          <w:i w:val="0"/>
          <w:sz w:val="22"/>
        </w:rPr>
        <w:t>3. 所述多模态运动锚点通过运动族槽位保留生成，所述运动族槽位至少包括静止/低速、短直行、长直行、左向横移或转弯、右向横移或转弯、大机动转弯中的多种。</w:t>
      </w:r>
    </w:p>
    <w:p>
      <w:pPr>
        <w:spacing w:line="300" w:lineRule="auto" w:after="80"/>
      </w:pPr>
      <w:r>
        <w:rPr>
          <w:rFonts w:ascii="宋体" w:hAnsi="宋体" w:eastAsia="宋体"/>
          <w:b w:val="0"/>
          <w:i w:val="0"/>
          <w:sz w:val="22"/>
        </w:rPr>
        <w:t>4. 所述多模态运动锚点通过带转弯权重的聚类生成或补充，其中转弯权重根据航向变化、横向偏移比例或二者组合确定。</w:t>
      </w:r>
    </w:p>
    <w:p>
      <w:pPr>
        <w:spacing w:line="300" w:lineRule="auto" w:after="80"/>
      </w:pPr>
      <w:r>
        <w:rPr>
          <w:rFonts w:ascii="宋体" w:hAnsi="宋体" w:eastAsia="宋体"/>
          <w:b w:val="0"/>
          <w:i w:val="0"/>
          <w:sz w:val="22"/>
        </w:rPr>
        <w:t>5. 所述目标类别至少包括行人组、车辆/作业设备组和锥桶组。</w:t>
      </w:r>
    </w:p>
    <w:p>
      <w:pPr>
        <w:spacing w:line="300" w:lineRule="auto" w:after="80"/>
      </w:pPr>
      <w:r>
        <w:rPr>
          <w:rFonts w:ascii="宋体" w:hAnsi="宋体" w:eastAsia="宋体"/>
          <w:b w:val="0"/>
          <w:i w:val="0"/>
          <w:sz w:val="22"/>
        </w:rPr>
        <w:t>6. 所述航向变化和横向偏移比例分别与第一航向阈值、第二航向阈值、第一横向偏移阈值和第二横向偏移阈值比较，以确定直行、轻微转弯和大转弯。</w:t>
      </w:r>
    </w:p>
    <w:p>
      <w:pPr>
        <w:spacing w:line="300" w:lineRule="auto" w:after="80"/>
      </w:pPr>
      <w:r>
        <w:rPr>
          <w:rFonts w:ascii="宋体" w:hAnsi="宋体" w:eastAsia="宋体"/>
          <w:b w:val="0"/>
          <w:i w:val="0"/>
          <w:sz w:val="22"/>
        </w:rPr>
        <w:t>7. 所述监督模式根据平均位移误差与终点位移误差联合度量的最小值确定。</w:t>
      </w:r>
    </w:p>
    <w:p>
      <w:pPr>
        <w:spacing w:line="300" w:lineRule="auto" w:after="80"/>
      </w:pPr>
      <w:r>
        <w:rPr>
          <w:rFonts w:ascii="宋体" w:hAnsi="宋体" w:eastAsia="宋体"/>
          <w:b w:val="0"/>
          <w:i w:val="0"/>
          <w:sz w:val="22"/>
        </w:rPr>
        <w:t>8. 所述训练损失包括模式分类损失、轨迹回归损失和终点误差辅助项中的至少一种。</w:t>
      </w:r>
    </w:p>
    <w:p>
      <w:pPr>
        <w:spacing w:line="300" w:lineRule="auto" w:after="80"/>
      </w:pPr>
      <w:r>
        <w:rPr>
          <w:rFonts w:ascii="宋体" w:hAnsi="宋体" w:eastAsia="宋体"/>
          <w:b w:val="0"/>
          <w:i w:val="0"/>
          <w:sz w:val="22"/>
        </w:rPr>
        <w:t>9. 所述训练损失权重按运动桶分别设置，且转弯运动桶权重高于直行运动桶权重。</w:t>
      </w:r>
    </w:p>
    <w:p>
      <w:pPr>
        <w:spacing w:line="300" w:lineRule="auto" w:after="80"/>
      </w:pPr>
      <w:r>
        <w:rPr>
          <w:rFonts w:ascii="宋体" w:hAnsi="宋体" w:eastAsia="宋体"/>
          <w:b w:val="0"/>
          <w:i w:val="0"/>
          <w:sz w:val="22"/>
        </w:rPr>
        <w:t>10. 所述训练损失权重按批次均值归一，以抑制不同训练批次中转弯样本占比变化导致的损失尺度漂移。</w:t>
      </w:r>
    </w:p>
    <w:p>
      <w:pPr>
        <w:spacing w:line="300" w:lineRule="auto" w:after="80"/>
      </w:pPr>
      <w:r>
        <w:rPr>
          <w:rFonts w:ascii="宋体" w:hAnsi="宋体" w:eastAsia="宋体"/>
          <w:b w:val="0"/>
          <w:i w:val="0"/>
          <w:sz w:val="22"/>
        </w:rPr>
        <w:t>11. 所述方法还包括基于最高置信度候选误差与最优候选误差的差异输出失效归因结果。</w:t>
      </w:r>
    </w:p>
    <w:p>
      <w:pPr>
        <w:spacing w:line="300" w:lineRule="auto" w:after="80"/>
      </w:pPr>
      <w:r>
        <w:rPr>
          <w:rFonts w:ascii="宋体" w:hAnsi="宋体" w:eastAsia="宋体"/>
          <w:b w:val="0"/>
          <w:i w:val="0"/>
          <w:sz w:val="22"/>
        </w:rPr>
        <w:t>12. 所述方法还包括根据候选轨迹置信度与真实轨迹误差之间的差异，对模式分类损失进行增强。</w:t>
      </w:r>
    </w:p>
    <w:p>
      <w:pPr>
        <w:keepNext/>
        <w:spacing w:before="120" w:after="100"/>
      </w:pPr>
      <w:r>
        <w:rPr>
          <w:rFonts w:ascii="黑体" w:hAnsi="黑体" w:eastAsia="黑体"/>
          <w:b/>
          <w:i w:val="0"/>
          <w:sz w:val="24"/>
        </w:rPr>
        <w:t>独立权利要求2：装置</w:t>
      </w:r>
    </w:p>
    <w:p>
      <w:pPr>
        <w:spacing w:line="300" w:lineRule="auto" w:after="80"/>
        <w:ind w:firstLine="420"/>
      </w:pPr>
      <w:r>
        <w:rPr>
          <w:rFonts w:ascii="宋体" w:hAnsi="宋体" w:eastAsia="宋体"/>
          <w:b w:val="0"/>
          <w:i w:val="0"/>
          <w:sz w:val="22"/>
        </w:rPr>
        <w:t>一种面向港口自动驾驶车辆的转弯感知多模态运动预测装置，包括：数据获取模块、局部坐标变换模块、运动桶划分模块、锚点生成或选择模块、运动预测模块、训练损失构建模块和推理输出模块；其中各模块用于执行独立权利要求1所述方法中的对应步骤。</w:t>
      </w:r>
    </w:p>
    <w:p>
      <w:pPr>
        <w:keepNext/>
        <w:spacing w:before="120" w:after="100"/>
      </w:pPr>
      <w:r>
        <w:rPr>
          <w:rFonts w:ascii="黑体" w:hAnsi="黑体" w:eastAsia="黑体"/>
          <w:b/>
          <w:i w:val="0"/>
          <w:sz w:val="24"/>
        </w:rPr>
        <w:t>独立权利要求3：电子设备</w:t>
      </w:r>
    </w:p>
    <w:p>
      <w:pPr>
        <w:spacing w:line="300" w:lineRule="auto" w:after="80"/>
        <w:ind w:firstLine="420"/>
      </w:pPr>
      <w:r>
        <w:rPr>
          <w:rFonts w:ascii="宋体" w:hAnsi="宋体" w:eastAsia="宋体"/>
          <w:b w:val="0"/>
          <w:i w:val="0"/>
          <w:sz w:val="22"/>
        </w:rPr>
        <w:t>一种电子设备，包括处理器和存储器，所述存储器中存储有计算机程序，所述计算机程序在由所述处理器执行时实现独立权利要求1所述的方法。</w:t>
      </w:r>
    </w:p>
    <w:p>
      <w:pPr>
        <w:keepNext/>
        <w:spacing w:before="120" w:after="100"/>
      </w:pPr>
      <w:r>
        <w:rPr>
          <w:rFonts w:ascii="黑体" w:hAnsi="黑体" w:eastAsia="黑体"/>
          <w:b/>
          <w:i w:val="0"/>
          <w:sz w:val="24"/>
        </w:rPr>
        <w:t>独立权利要求4：计算机可读存储介质</w:t>
      </w:r>
    </w:p>
    <w:p>
      <w:pPr>
        <w:spacing w:line="300" w:lineRule="auto" w:after="80"/>
        <w:ind w:firstLine="420"/>
      </w:pPr>
      <w:r>
        <w:rPr>
          <w:rFonts w:ascii="宋体" w:hAnsi="宋体" w:eastAsia="宋体"/>
          <w:b w:val="0"/>
          <w:i w:val="0"/>
          <w:sz w:val="22"/>
        </w:rPr>
        <w:t>一种计算机可读存储介质，其上存储有计算机程序，所述计算机程序被处理器执行时实现独立权利要求1所述的方法。</w:t>
      </w:r>
    </w:p>
    <w:p>
      <w:pPr>
        <w:keepNext/>
        <w:spacing w:before="200" w:after="100"/>
      </w:pPr>
      <w:r>
        <w:rPr>
          <w:rFonts w:ascii="黑体" w:hAnsi="黑体" w:eastAsia="黑体"/>
          <w:b/>
          <w:i w:val="0"/>
          <w:sz w:val="28"/>
        </w:rPr>
        <w:t>七、实验数据与效果</w:t>
      </w:r>
    </w:p>
    <w:p>
      <w:pPr>
        <w:keepNext/>
        <w:spacing w:before="120" w:after="100"/>
      </w:pPr>
      <w:r>
        <w:rPr>
          <w:rFonts w:ascii="黑体" w:hAnsi="黑体" w:eastAsia="黑体"/>
          <w:b/>
          <w:i w:val="0"/>
          <w:sz w:val="24"/>
        </w:rPr>
        <w:t>1. 阶段性整体消融结果</w:t>
      </w:r>
    </w:p>
    <w:p>
      <w:pPr>
        <w:spacing w:line="300" w:lineRule="auto" w:after="80"/>
        <w:ind w:firstLine="420"/>
      </w:pPr>
      <w:r>
        <w:rPr>
          <w:rFonts w:ascii="宋体" w:hAnsi="宋体" w:eastAsia="宋体"/>
          <w:b w:val="0"/>
          <w:i w:val="0"/>
          <w:sz w:val="22"/>
        </w:rPr>
        <w:t>表7-1给出各实验组设置。表7-2给出阶段性整体消融结果。指标中，minADE、minFDE 和 MR 越低越好，AMOTA 和 NDS 越高越好；minADE 和 minFDE 的单位为米。</w:t>
      </w:r>
    </w:p>
    <w:p>
      <w:pPr>
        <w:spacing w:line="300" w:lineRule="auto" w:after="80"/>
        <w:ind w:firstLine="420"/>
      </w:pPr>
      <w:r>
        <w:rPr>
          <w:rFonts w:ascii="宋体" w:hAnsi="宋体" w:eastAsia="宋体"/>
          <w:b w:val="0"/>
          <w:i w:val="0"/>
          <w:sz w:val="22"/>
        </w:rPr>
        <w:t>表7-1：实验组设置</w:t>
      </w:r>
    </w:p>
    <w:tbl>
      <w:tblPr>
        <w:tblW w:type="auto" w:w="0"/>
        <w:jc w:val="center"/>
        <w:tblLayout w:type="fixed"/>
        <w:tblLook w:firstColumn="1" w:firstRow="1" w:lastColumn="0" w:lastRow="0" w:noHBand="0" w:noVBand="1" w:val="04A0"/>
      </w:tblPr>
      <w:tblGrid>
        <w:gridCol w:w="2324"/>
        <w:gridCol w:w="2324"/>
        <w:gridCol w:w="2324"/>
        <w:gridCol w:w="2324"/>
      </w:tblGrid>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实验组</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锚点方案</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训练目标</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用途说明</w:t>
            </w:r>
          </w:p>
        </w:tc>
      </w:tr>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A</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普通类别锚点</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原始训练目标</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基线方案</w:t>
            </w:r>
          </w:p>
        </w:tc>
      </w:tr>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B</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转弯感知分组锚点</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原始训练目标</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验证锚点方案的独立贡献</w:t>
            </w:r>
          </w:p>
        </w:tc>
      </w:tr>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C</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普通类别锚点</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联合模式分配+转弯加权</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验证训练目标的独立贡献</w:t>
            </w:r>
          </w:p>
        </w:tc>
      </w:tr>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D</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转弯感知分组锚点</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联合模式分配+转弯加权</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验证锚点与训练目标的组合效果</w:t>
            </w:r>
          </w:p>
        </w:tc>
      </w:tr>
      <w:tr>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E</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转弯感知分组锚点</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联合模式分配+转弯加权+模式评分增强</w:t>
            </w:r>
          </w:p>
        </w:tc>
        <w:tc>
          <w:tcPr>
            <w:tcW w:type="dxa" w:w="2324"/>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诊断体系导出的扩展实验</w:t>
            </w:r>
          </w:p>
        </w:tc>
      </w:tr>
    </w:tbl>
    <w:p>
      <w:pPr>
        <w:spacing w:after="40"/>
      </w:pPr>
    </w:p>
    <w:p>
      <w:pPr>
        <w:spacing w:line="300" w:lineRule="auto" w:after="80"/>
        <w:ind w:firstLine="420"/>
      </w:pPr>
      <w:r>
        <w:rPr>
          <w:rFonts w:ascii="宋体" w:hAnsi="宋体" w:eastAsia="宋体"/>
          <w:b w:val="0"/>
          <w:i w:val="0"/>
          <w:sz w:val="22"/>
        </w:rPr>
        <w:t>表7-2：阶段性整体消融结果</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实验组</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minADE</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minFDE</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MR</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AMOTA</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NDS</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主要观察</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A</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0.3368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0.5974</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0.0812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0.8004</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0.8499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基线</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B</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0.3371</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0.5926</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0.0823</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0.8076</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0.8478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锚点单独替换后终点误差略降</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C</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0.3277</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0.5762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0.0782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0.8101</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0.8475</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运动预测单项指标最优</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D</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0.3282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0.5801</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0.0812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0.8117</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0.8559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综合感知跟踪指标较好</w:t>
            </w:r>
          </w:p>
        </w:tc>
      </w:tr>
    </w:tbl>
    <w:p>
      <w:pPr>
        <w:spacing w:after="40"/>
      </w:pPr>
    </w:p>
    <w:p>
      <w:pPr>
        <w:spacing w:line="300" w:lineRule="auto" w:after="80"/>
        <w:ind w:firstLine="420"/>
      </w:pPr>
      <w:r>
        <w:rPr>
          <w:rFonts w:ascii="宋体" w:hAnsi="宋体" w:eastAsia="宋体"/>
          <w:b w:val="0"/>
          <w:i w:val="0"/>
          <w:sz w:val="22"/>
        </w:rPr>
        <w:t>结论：本表为阶段性消融结果，用于说明方案方向和各模块贡献，不能替代完整训练收敛后的最终性能结论。当前结果显示：单独更换转弯感知锚点后终点误差略有下降；转弯分桶训练目标是当前运动预测单项指标最优配置；转弯感知锚点与转弯分桶训练目标组合后，运动预测指标略弱于单独转弯分桶训练目标，但综合感知跟踪指标更好。正式提交或对外披露前，建议补充更长训练轮次或验证集最佳检查点结果，以确认趋势稳定性。</w:t>
      </w:r>
    </w:p>
    <w:p>
      <w:pPr>
        <w:keepNext/>
        <w:spacing w:before="120" w:after="100"/>
      </w:pPr>
      <w:r>
        <w:rPr>
          <w:rFonts w:ascii="黑体" w:hAnsi="黑体" w:eastAsia="黑体"/>
          <w:b/>
          <w:i w:val="0"/>
          <w:sz w:val="24"/>
        </w:rPr>
        <w:t>2. 转弯分桶结果</w:t>
      </w:r>
    </w:p>
    <w:p>
      <w:pPr>
        <w:spacing w:line="300" w:lineRule="auto" w:after="80"/>
        <w:ind w:firstLine="420"/>
      </w:pPr>
      <w:r>
        <w:rPr>
          <w:rFonts w:ascii="宋体" w:hAnsi="宋体" w:eastAsia="宋体"/>
          <w:b w:val="0"/>
          <w:i w:val="0"/>
          <w:sz w:val="22"/>
        </w:rPr>
        <w:t>表7-3聚焦轻微转弯和大转弯样本，并给出相对于实验组A的变化。该表用于突出与本发明技术问题直接相关的转弯场景效果。</w:t>
      </w:r>
    </w:p>
    <w:p>
      <w:pPr>
        <w:spacing w:line="300" w:lineRule="auto" w:after="80"/>
        <w:ind w:firstLine="420"/>
      </w:pPr>
      <w:r>
        <w:rPr>
          <w:rFonts w:ascii="宋体" w:hAnsi="宋体" w:eastAsia="宋体"/>
          <w:b w:val="0"/>
          <w:i w:val="0"/>
          <w:sz w:val="22"/>
        </w:rPr>
        <w:t>表7-3：转弯场景重点指标与相对变化</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实验组</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轻微转弯minFDE</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较A变化</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大转弯minFDE</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较A变化</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大转弯MR</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shd w:fill="EAF0F7"/>
          </w:tcPr>
          <w:p>
            <w:pPr>
              <w:spacing w:line="276" w:lineRule="auto" w:after="0"/>
              <w:jc w:val="center"/>
            </w:pPr>
            <w:r>
              <w:rPr>
                <w:rFonts w:ascii="黑体" w:hAnsi="黑体" w:eastAsia="黑体"/>
                <w:b/>
                <w:i w:val="0"/>
                <w:sz w:val="21"/>
              </w:rPr>
            </w:r>
            <w:r>
              <w:rPr>
                <w:rFonts w:ascii="黑体" w:hAnsi="黑体" w:eastAsia="黑体"/>
                <w:b/>
                <w:i w:val="0"/>
                <w:sz w:val="21"/>
              </w:rPr>
              <w:t>较A变化</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A</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2.9992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基线</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3.7065</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基线</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0.5596</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基线</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B</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2.8557</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改善4.8%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3.7866</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退化2.2%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0.5640</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退化0.8%</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C</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2.7052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改善9.8%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3.3652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改善9.2%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0.5449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改善2.6%</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D</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2.7618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改善7.9%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3.3814</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改善8.8%</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0.5456</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改善2.5%</w:t>
            </w:r>
          </w:p>
        </w:tc>
      </w:tr>
      <w:tr>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E</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2.8522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改善4.9%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3.3762</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改善8.9%</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0.5394</w:t>
            </w:r>
          </w:p>
        </w:tc>
        <w:tc>
          <w:tcPr>
            <w:tcW w:type="dxa" w:w="1328"/>
            <w:vAlign w:val="top"/>
            <w:tcBorders>
              <w:top w:val="single" w:sz="6" w:space="0" w:color="9CA3AF"/>
              <w:left w:val="single" w:sz="6" w:space="0" w:color="9CA3AF"/>
              <w:bottom w:val="single" w:sz="6" w:space="0" w:color="9CA3AF"/>
              <w:right w:val="single" w:sz="6" w:space="0" w:color="9CA3AF"/>
              <w:insideH w:val="single" w:sz="6" w:space="0" w:color="9CA3AF"/>
              <w:insideV w:val="single" w:sz="6" w:space="0" w:color="9CA3AF"/>
            </w:tcBorders>
          </w:tcPr>
          <w:p>
            <w:pPr>
              <w:spacing w:line="276" w:lineRule="auto" w:after="0"/>
            </w:pPr>
            <w:r/>
            <w:r>
              <w:rPr>
                <w:rFonts w:ascii="宋体" w:hAnsi="宋体" w:eastAsia="宋体"/>
                <w:b w:val="0"/>
                <w:i w:val="0"/>
                <w:sz w:val="21"/>
              </w:rPr>
              <w:t>改善3.6%</w:t>
            </w:r>
          </w:p>
        </w:tc>
      </w:tr>
    </w:tbl>
    <w:p>
      <w:pPr>
        <w:spacing w:after="40"/>
      </w:pPr>
    </w:p>
    <w:p>
      <w:pPr>
        <w:spacing w:line="300" w:lineRule="auto" w:after="80"/>
        <w:ind w:firstLine="420"/>
      </w:pPr>
      <w:r>
        <w:rPr>
          <w:rFonts w:ascii="宋体" w:hAnsi="宋体" w:eastAsia="宋体"/>
          <w:b w:val="0"/>
          <w:i w:val="0"/>
          <w:sz w:val="22"/>
        </w:rPr>
        <w:t>结论：转弯加权训练对轻微转弯和大转弯的终点误差改善更明显。例如实验组C相对于实验组A，轻微转弯minFDE和大转弯minFDE均有明显下降。仅靠锚点的收益有限，尤其大转弯仍会暴露模式选择和分类评分问题，因此本交底书将训练目标和模式分配纳入核心方案。实验组E用于验证“候选存在但最高置信度未选中”的模式评分增强方向；现有阶段性结果只显示大转弯MR略有改善，尚未形成稳定、全面的性能提升，因此不宜把该实验作为主要效果宣称，应将其作为诊断体系导出的后续优化实施例。</w:t>
      </w:r>
    </w:p>
    <w:p>
      <w:pPr>
        <w:keepNext/>
        <w:spacing w:before="120" w:after="100"/>
      </w:pPr>
      <w:r>
        <w:rPr>
          <w:rFonts w:ascii="黑体" w:hAnsi="黑体" w:eastAsia="黑体"/>
          <w:b/>
          <w:i w:val="0"/>
          <w:sz w:val="24"/>
        </w:rPr>
        <w:t>3. 视觉复查结论</w:t>
      </w:r>
    </w:p>
    <w:p>
      <w:pPr>
        <w:spacing w:line="300" w:lineRule="auto" w:after="80"/>
        <w:ind w:firstLine="420"/>
      </w:pPr>
      <w:r>
        <w:rPr>
          <w:rFonts w:ascii="宋体" w:hAnsi="宋体" w:eastAsia="宋体"/>
          <w:b w:val="0"/>
          <w:i w:val="0"/>
          <w:sz w:val="22"/>
        </w:rPr>
        <w:t>代表样本显示：部分大转弯场景中，本方案能够给出更接近真实轨迹的候选；但也存在最优候选误差较小而最高置信度轨迹误差较大的样本，说明当前瓶颈已经从“有没有候选”部分转向“能不能把正确候选排到最高置信度”。</w:t>
      </w:r>
    </w:p>
    <w:p>
      <w:pPr>
        <w:keepNext/>
        <w:spacing w:before="200" w:after="100"/>
      </w:pPr>
      <w:r>
        <w:rPr>
          <w:rFonts w:ascii="黑体" w:hAnsi="黑体" w:eastAsia="黑体"/>
          <w:b/>
          <w:i w:val="0"/>
          <w:sz w:val="28"/>
        </w:rPr>
        <w:t>八、附图及附图说明</w:t>
      </w:r>
    </w:p>
    <w:p>
      <w:pPr>
        <w:spacing w:line="300" w:lineRule="auto" w:after="80"/>
      </w:pPr>
      <w:r>
        <w:rPr>
          <w:rFonts w:ascii="宋体" w:hAnsi="宋体" w:eastAsia="宋体"/>
          <w:b w:val="0"/>
          <w:i w:val="0"/>
          <w:sz w:val="22"/>
        </w:rPr>
        <w:t>1. 图1：转弯感知运动锚点生成流程。该图展示训练数据读取、港口类别分组、目标局部坐标归一、运动形态特征计算、运动族槽位保留、样本加权和锚点输出之间的关系。其重点在于说明锚点不是从全量轨迹直接普通聚类得到，而是先结合港口类别和转弯语义进行结构化约束。</w:t>
      </w:r>
    </w:p>
    <w:p>
      <w:pPr>
        <w:spacing w:line="300" w:lineRule="auto" w:after="80"/>
      </w:pPr>
      <w:r>
        <w:rPr>
          <w:rFonts w:ascii="宋体" w:hAnsi="宋体" w:eastAsia="宋体"/>
          <w:b w:val="0"/>
          <w:i w:val="0"/>
          <w:sz w:val="22"/>
        </w:rPr>
        <w:t>2. 图2：普通运动锚点与转弯感知运动锚点的形状对比。该图用于展示普通锚点容易集中在直行或低曲率轨迹，而转弯感知锚点在有限候选模式下保留左右转弯和大机动转弯形状。图中差异体现了分层锚点和转弯加权对候选覆盖的影响。</w:t>
      </w:r>
    </w:p>
    <w:p>
      <w:pPr>
        <w:spacing w:line="300" w:lineRule="auto" w:after="80"/>
      </w:pPr>
      <w:r>
        <w:rPr>
          <w:rFonts w:ascii="宋体" w:hAnsi="宋体" w:eastAsia="宋体"/>
          <w:b w:val="0"/>
          <w:i w:val="0"/>
          <w:sz w:val="22"/>
        </w:rPr>
        <w:t>3. 图3A至图3C：转弯目标聚焦可视化对比示例。三图分别选取卡车轻微转弯、起重机大角度转弯等不同目标样本；每张图左侧为普通锚点方案的最高置信度轨迹，右侧为本方案的最高置信度轨迹，白色曲线为真实未来轨迹，坐标轴分别表示目标局部视角下的横向位置和前向位置，单位为米。图3A中普通方案最高置信度终点误差为8.06米，本方案为0.26米；图3B中普通方案为6.53米，本方案为0.81米；图3C中普通方案为7.71米，本方案为1.18米。上述图仅作为定性示例，与前述分桶统计结果共同说明本方案对转弯目标的轨迹贴合程度。</w:t>
      </w:r>
    </w:p>
    <w:p>
      <w:pPr>
        <w:spacing w:line="300" w:lineRule="auto" w:after="80"/>
      </w:pPr>
      <w:r>
        <w:rPr>
          <w:rFonts w:ascii="宋体" w:hAnsi="宋体" w:eastAsia="宋体"/>
          <w:b w:val="0"/>
          <w:i w:val="0"/>
          <w:sz w:val="22"/>
        </w:rPr>
        <w:t>4. 图4：转弯感知损失与模式分配流程。该图展示平均位移误差/终点位移误差联合选择监督模式，以及基于运动桶的样本加权和批次均值归一。其重点在于说明本发明同时处理“监督哪个候选模式”和“转弯样本训练权重不足”两个问题。</w:t>
      </w:r>
    </w:p>
    <w:p>
      <w:pPr>
        <w:spacing w:line="300" w:lineRule="auto" w:after="80"/>
      </w:pPr>
      <w:r>
        <w:rPr>
          <w:rFonts w:ascii="宋体" w:hAnsi="宋体" w:eastAsia="宋体"/>
          <w:b w:val="0"/>
          <w:i w:val="0"/>
          <w:sz w:val="22"/>
        </w:rPr>
        <w:t>5. 图5：最高置信度候选/最优候选模式诊断示意。该图展示候选存在但置信度选错、候选覆盖不足和目标漏检三类失效模式。该诊断可用于决定后续应优化锚点生成、轨迹回归、模式评分还是上游检测跟踪。</w:t>
      </w:r>
    </w:p>
    <w:p>
      <w:pPr>
        <w:spacing w:line="300" w:lineRule="auto" w:after="80"/>
      </w:pPr>
      <w:r>
        <w:rPr>
          <w:rFonts w:ascii="宋体" w:hAnsi="宋体" w:eastAsia="宋体"/>
          <w:b w:val="0"/>
          <w:i w:val="0"/>
          <w:sz w:val="22"/>
        </w:rPr>
        <w:t>6. 图6：预测网络总体架构及转弯感知模块嵌入位置示意。该图展示传感器特征和目标历史状态经目标/场景编码、交互编码后进入多模态轨迹解码器；转弯感知锚点库根据目标类别、中心和航向角选择并转换为场景坐标，作为解码器的锚点先验；训练阶段结合真实未来轨迹和运动桶标签进行联合模式分配及运动桶加权，推理阶段输出候选轨迹及其置信度。该图用于说明本方案可嵌入不同运动预测骨干网络，而不限定具体网络层数或代码实现。</w:t>
      </w:r>
    </w:p>
    <w:p>
      <w:pPr>
        <w:keepNext/>
        <w:spacing w:before="200" w:after="100"/>
      </w:pPr>
      <w:r>
        <w:rPr>
          <w:rFonts w:ascii="黑体" w:hAnsi="黑体" w:eastAsia="黑体"/>
          <w:b/>
          <w:i w:val="0"/>
          <w:sz w:val="28"/>
        </w:rPr>
        <w:t>九、可扩展实施例</w:t>
      </w:r>
    </w:p>
    <w:p>
      <w:pPr>
        <w:spacing w:line="300" w:lineRule="auto" w:after="80"/>
      </w:pPr>
      <w:r>
        <w:rPr>
          <w:rFonts w:ascii="宋体" w:hAnsi="宋体" w:eastAsia="宋体"/>
          <w:b w:val="0"/>
          <w:i w:val="0"/>
          <w:sz w:val="22"/>
        </w:rPr>
        <w:t>1. 转弯权重函数可采用分段线性、指数函数、sigmoid 函数或查表方式。</w:t>
      </w:r>
    </w:p>
    <w:p>
      <w:pPr>
        <w:spacing w:line="300" w:lineRule="auto" w:after="80"/>
      </w:pPr>
      <w:r>
        <w:rPr>
          <w:rFonts w:ascii="宋体" w:hAnsi="宋体" w:eastAsia="宋体"/>
          <w:b w:val="0"/>
          <w:i w:val="0"/>
          <w:sz w:val="22"/>
        </w:rPr>
        <w:t>2. 转弯强度可结合曲率、横向偏移比、终点方向变化、历史角速度等多种运动特征。</w:t>
      </w:r>
    </w:p>
    <w:p>
      <w:pPr>
        <w:spacing w:line="300" w:lineRule="auto" w:after="80"/>
      </w:pPr>
      <w:r>
        <w:rPr>
          <w:rFonts w:ascii="宋体" w:hAnsi="宋体" w:eastAsia="宋体"/>
          <w:b w:val="0"/>
          <w:i w:val="0"/>
          <w:sz w:val="22"/>
        </w:rPr>
        <w:t>3. 类别分组可根据港口设备类型调整，例如将吊车、叉车、拖挂车分别设置独立锚点组。</w:t>
      </w:r>
    </w:p>
    <w:p>
      <w:pPr>
        <w:spacing w:line="300" w:lineRule="auto" w:after="80"/>
      </w:pPr>
      <w:r>
        <w:rPr>
          <w:rFonts w:ascii="宋体" w:hAnsi="宋体" w:eastAsia="宋体"/>
          <w:b w:val="0"/>
          <w:i w:val="0"/>
          <w:sz w:val="22"/>
        </w:rPr>
        <w:t>4. 该方法可用于点云、视觉、多传感器融合等不同感知预测模型。</w:t>
      </w:r>
    </w:p>
    <w:p>
      <w:pPr>
        <w:spacing w:line="300" w:lineRule="auto" w:after="80"/>
      </w:pPr>
      <w:r>
        <w:rPr>
          <w:rFonts w:ascii="宋体" w:hAnsi="宋体" w:eastAsia="宋体"/>
          <w:b w:val="0"/>
          <w:i w:val="0"/>
          <w:sz w:val="22"/>
        </w:rPr>
        <w:t>5. 模式评分可进一步采用温度缩放、排序损失、最高置信度候选/最优候选差异损失或困难样本挖掘。</w:t>
      </w:r>
    </w:p>
    <w:p>
      <w:pPr>
        <w:spacing w:line="300" w:lineRule="auto" w:after="80"/>
      </w:pPr>
      <w:r>
        <w:rPr>
          <w:rFonts w:ascii="宋体" w:hAnsi="宋体" w:eastAsia="宋体"/>
          <w:b w:val="0"/>
          <w:i w:val="0"/>
          <w:sz w:val="22"/>
        </w:rPr>
        <w:t>6. 分层锚点槽位数量可根据预测时域、实时性约束和目标类别调整，不限于六个槽位。</w:t>
      </w:r>
    </w:p>
    <w:p>
      <w:pPr>
        <w:spacing w:line="300" w:lineRule="auto" w:after="80"/>
      </w:pPr>
      <w:r>
        <w:rPr>
          <w:rFonts w:ascii="宋体" w:hAnsi="宋体" w:eastAsia="宋体"/>
          <w:b w:val="0"/>
          <w:i w:val="0"/>
          <w:sz w:val="22"/>
        </w:rPr>
        <w:t>7. 运动桶权重可与课程学习结合，在训练早期采用较低转弯权重，在训练后期逐步提高转弯长尾样本权重。</w:t>
      </w:r>
    </w:p>
    <w:p>
      <w:pPr>
        <w:spacing w:line="300" w:lineRule="auto" w:after="80"/>
      </w:pPr>
      <w:r>
        <w:rPr>
          <w:rFonts w:ascii="宋体" w:hAnsi="宋体" w:eastAsia="宋体"/>
          <w:b w:val="0"/>
          <w:i w:val="0"/>
          <w:sz w:val="22"/>
        </w:rPr>
        <w:t>8. 锚点可基于训练过程中的困难样本或周期性验证集误差动态更新，以适应港区路线、作业工况或设备类型变化。</w:t>
      </w:r>
    </w:p>
    <w:p>
      <w:pPr>
        <w:spacing w:line="300" w:lineRule="auto" w:after="80"/>
      </w:pPr>
      <w:r>
        <w:rPr>
          <w:rFonts w:ascii="宋体" w:hAnsi="宋体" w:eastAsia="宋体"/>
          <w:b w:val="0"/>
          <w:i w:val="0"/>
          <w:sz w:val="22"/>
        </w:rPr>
        <w:t>9. 模式分类可引入对比学习、排序学习或候选间间隔约束，使接近真实轨迹的候选获得更高置信度。</w:t>
      </w:r>
    </w:p>
    <w:p>
      <w:pPr>
        <w:spacing w:line="300" w:lineRule="auto" w:after="80"/>
      </w:pPr>
      <w:r>
        <w:rPr>
          <w:rFonts w:ascii="宋体" w:hAnsi="宋体" w:eastAsia="宋体"/>
          <w:b w:val="0"/>
          <w:i w:val="0"/>
          <w:sz w:val="22"/>
        </w:rPr>
        <w:t>10. 失效归因结果可反馈到数据采样、场景挖掘和标注复核流程，用于补充大转弯、倒车、横移和装卸作业等长尾场景。</w:t>
      </w:r>
    </w:p>
    <w:p>
      <w:pPr>
        <w:spacing w:line="300" w:lineRule="auto" w:after="80"/>
      </w:pPr>
      <w:r>
        <w:rPr>
          <w:rFonts w:ascii="宋体" w:hAnsi="宋体" w:eastAsia="宋体"/>
          <w:b w:val="0"/>
          <w:i w:val="0"/>
          <w:sz w:val="22"/>
        </w:rPr>
        <w:t>11. 转弯分桶可结合道路拓扑、作业区域属性或任务指令作为附加条件，但这些附加条件不是本方案实施的必要条件。</w:t>
      </w:r>
    </w:p>
    <w:p>
      <w:pPr>
        <w:spacing w:line="300" w:lineRule="auto" w:after="80"/>
      </w:pPr>
      <w:r>
        <w:rPr>
          <w:rFonts w:ascii="宋体" w:hAnsi="宋体" w:eastAsia="宋体"/>
          <w:b w:val="0"/>
          <w:i w:val="0"/>
          <w:sz w:val="22"/>
        </w:rPr>
        <w:t>12. 本方法可与不同轨迹预测骨干网络结合，包括基于注意力机制、图结构交互或多传感器融合的预测网络。</w:t>
      </w:r>
    </w:p>
    <w:p>
      <w:pPr>
        <w:keepNext/>
        <w:spacing w:before="200" w:after="100"/>
      </w:pPr>
      <w:r>
        <w:rPr>
          <w:rFonts w:ascii="黑体" w:hAnsi="黑体" w:eastAsia="黑体"/>
          <w:b/>
          <w:i w:val="0"/>
          <w:sz w:val="28"/>
        </w:rPr>
        <w:t>十、附图生成说明</w:t>
      </w:r>
    </w:p>
    <w:p>
      <w:pPr>
        <w:spacing w:line="300" w:lineRule="auto" w:after="80"/>
        <w:ind w:firstLine="420"/>
      </w:pPr>
      <w:r>
        <w:rPr>
          <w:rFonts w:ascii="宋体" w:hAnsi="宋体" w:eastAsia="宋体"/>
          <w:b w:val="0"/>
          <w:i w:val="0"/>
          <w:sz w:val="22"/>
        </w:rPr>
        <w:t>本交底书附图均为技术流程示意或内部实验可视化摘录。正式提交时可保留与技术方案直接相关的流程图和对比图；完整的生成命令、代码路径和实验目录已另存为内部备查文件，不放入交底书正文。</w:t>
      </w:r>
    </w:p>
    <w:p>
      <w:pPr>
        <w:keepNext/>
        <w:spacing w:before="200" w:after="100"/>
      </w:pPr>
      <w:r>
        <w:rPr>
          <w:rFonts w:ascii="黑体" w:hAnsi="黑体" w:eastAsia="黑体"/>
          <w:b/>
          <w:i w:val="0"/>
          <w:sz w:val="28"/>
        </w:rPr>
        <w:t>附图</w:t>
      </w:r>
    </w:p>
    <w:p>
      <w:pPr>
        <w:jc w:val="center"/>
      </w:pPr>
      <w:r>
        <w:drawing>
          <wp:inline xmlns:a="http://schemas.openxmlformats.org/drawingml/2006/main" xmlns:pic="http://schemas.openxmlformats.org/drawingml/2006/picture">
            <wp:extent cx="5669280" cy="3703930"/>
            <wp:docPr id="1" name="Picture 1"/>
            <wp:cNvGraphicFramePr>
              <a:graphicFrameLocks noChangeAspect="1"/>
            </wp:cNvGraphicFramePr>
            <a:graphic>
              <a:graphicData uri="http://schemas.openxmlformats.org/drawingml/2006/picture">
                <pic:pic>
                  <pic:nvPicPr>
                    <pic:cNvPr id="0" name="fig1_turnaware_anchor_generation_flow.png"/>
                    <pic:cNvPicPr/>
                  </pic:nvPicPr>
                  <pic:blipFill>
                    <a:blip r:embed="rId9"/>
                    <a:stretch>
                      <a:fillRect/>
                    </a:stretch>
                  </pic:blipFill>
                  <pic:spPr>
                    <a:xfrm>
                      <a:off x="0" y="0"/>
                      <a:ext cx="5669280" cy="3703930"/>
                    </a:xfrm>
                    <a:prstGeom prst="rect"/>
                  </pic:spPr>
                </pic:pic>
              </a:graphicData>
            </a:graphic>
          </wp:inline>
        </w:drawing>
      </w:r>
    </w:p>
    <w:p>
      <w:pPr>
        <w:jc w:val="center"/>
      </w:pPr>
      <w:r>
        <w:rPr>
          <w:rFonts w:ascii="宋体" w:hAnsi="宋体" w:eastAsia="宋体"/>
          <w:b w:val="0"/>
          <w:i w:val="0"/>
          <w:sz w:val="20"/>
        </w:rPr>
        <w:t>图1：转弯感知运动锚点生成流程</w:t>
      </w:r>
    </w:p>
    <w:p>
      <w:pPr>
        <w:jc w:val="center"/>
      </w:pPr>
      <w:r>
        <w:drawing>
          <wp:inline xmlns:a="http://schemas.openxmlformats.org/drawingml/2006/main" xmlns:pic="http://schemas.openxmlformats.org/drawingml/2006/picture">
            <wp:extent cx="5989320" cy="7187184"/>
            <wp:docPr id="2" name="Picture 2"/>
            <wp:cNvGraphicFramePr>
              <a:graphicFrameLocks noChangeAspect="1"/>
            </wp:cNvGraphicFramePr>
            <a:graphic>
              <a:graphicData uri="http://schemas.openxmlformats.org/drawingml/2006/picture">
                <pic:pic>
                  <pic:nvPicPr>
                    <pic:cNvPr id="0" name="fig2_anchor_compare.png"/>
                    <pic:cNvPicPr/>
                  </pic:nvPicPr>
                  <pic:blipFill>
                    <a:blip r:embed="rId10"/>
                    <a:stretch>
                      <a:fillRect/>
                    </a:stretch>
                  </pic:blipFill>
                  <pic:spPr>
                    <a:xfrm>
                      <a:off x="0" y="0"/>
                      <a:ext cx="5989320" cy="7187184"/>
                    </a:xfrm>
                    <a:prstGeom prst="rect"/>
                  </pic:spPr>
                </pic:pic>
              </a:graphicData>
            </a:graphic>
          </wp:inline>
        </w:drawing>
      </w:r>
    </w:p>
    <w:p>
      <w:pPr>
        <w:jc w:val="center"/>
      </w:pPr>
      <w:r>
        <w:rPr>
          <w:rFonts w:ascii="宋体" w:hAnsi="宋体" w:eastAsia="宋体"/>
          <w:b w:val="0"/>
          <w:i w:val="0"/>
          <w:sz w:val="20"/>
        </w:rPr>
        <w:t>图2：普通运动锚点与转弯感知运动锚点形状对比</w:t>
      </w:r>
    </w:p>
    <w:p>
      <w:pPr>
        <w:jc w:val="center"/>
      </w:pPr>
      <w:r>
        <w:drawing>
          <wp:inline xmlns:a="http://schemas.openxmlformats.org/drawingml/2006/main" xmlns:pic="http://schemas.openxmlformats.org/drawingml/2006/picture">
            <wp:extent cx="5989320" cy="2913723"/>
            <wp:docPr id="3" name="Picture 3"/>
            <wp:cNvGraphicFramePr>
              <a:graphicFrameLocks noChangeAspect="1"/>
            </wp:cNvGraphicFramePr>
            <a:graphic>
              <a:graphicData uri="http://schemas.openxmlformats.org/drawingml/2006/picture">
                <pic:pic>
                  <pic:nvPicPr>
                    <pic:cNvPr id="0" name="fig3a_turn_focus_truck_1522.png"/>
                    <pic:cNvPicPr/>
                  </pic:nvPicPr>
                  <pic:blipFill>
                    <a:blip r:embed="rId11"/>
                    <a:stretch>
                      <a:fillRect/>
                    </a:stretch>
                  </pic:blipFill>
                  <pic:spPr>
                    <a:xfrm>
                      <a:off x="0" y="0"/>
                      <a:ext cx="5989320" cy="2913723"/>
                    </a:xfrm>
                    <a:prstGeom prst="rect"/>
                  </pic:spPr>
                </pic:pic>
              </a:graphicData>
            </a:graphic>
          </wp:inline>
        </w:drawing>
      </w:r>
    </w:p>
    <w:p>
      <w:pPr>
        <w:jc w:val="center"/>
      </w:pPr>
      <w:r>
        <w:rPr>
          <w:rFonts w:ascii="宋体" w:hAnsi="宋体" w:eastAsia="宋体"/>
          <w:b w:val="0"/>
          <w:i w:val="0"/>
          <w:sz w:val="20"/>
        </w:rPr>
        <w:t>图3A：卡车轻微转弯目标聚焦对比</w:t>
      </w:r>
    </w:p>
    <w:p>
      <w:pPr>
        <w:jc w:val="center"/>
      </w:pPr>
      <w:r>
        <w:drawing>
          <wp:inline xmlns:a="http://schemas.openxmlformats.org/drawingml/2006/main" xmlns:pic="http://schemas.openxmlformats.org/drawingml/2006/picture">
            <wp:extent cx="5989320" cy="2913723"/>
            <wp:docPr id="4" name="Picture 4"/>
            <wp:cNvGraphicFramePr>
              <a:graphicFrameLocks noChangeAspect="1"/>
            </wp:cNvGraphicFramePr>
            <a:graphic>
              <a:graphicData uri="http://schemas.openxmlformats.org/drawingml/2006/picture">
                <pic:pic>
                  <pic:nvPicPr>
                    <pic:cNvPr id="0" name="fig3b_turn_focus_crane_204.png"/>
                    <pic:cNvPicPr/>
                  </pic:nvPicPr>
                  <pic:blipFill>
                    <a:blip r:embed="rId12"/>
                    <a:stretch>
                      <a:fillRect/>
                    </a:stretch>
                  </pic:blipFill>
                  <pic:spPr>
                    <a:xfrm>
                      <a:off x="0" y="0"/>
                      <a:ext cx="5989320" cy="2913723"/>
                    </a:xfrm>
                    <a:prstGeom prst="rect"/>
                  </pic:spPr>
                </pic:pic>
              </a:graphicData>
            </a:graphic>
          </wp:inline>
        </w:drawing>
      </w:r>
    </w:p>
    <w:p>
      <w:pPr>
        <w:jc w:val="center"/>
      </w:pPr>
      <w:r>
        <w:rPr>
          <w:rFonts w:ascii="宋体" w:hAnsi="宋体" w:eastAsia="宋体"/>
          <w:b w:val="0"/>
          <w:i w:val="0"/>
          <w:sz w:val="20"/>
        </w:rPr>
        <w:t>图3B：起重机大角度转弯目标聚焦对比</w:t>
      </w:r>
    </w:p>
    <w:p>
      <w:pPr>
        <w:jc w:val="center"/>
      </w:pPr>
      <w:r>
        <w:drawing>
          <wp:inline xmlns:a="http://schemas.openxmlformats.org/drawingml/2006/main" xmlns:pic="http://schemas.openxmlformats.org/drawingml/2006/picture">
            <wp:extent cx="5989320" cy="2913723"/>
            <wp:docPr id="5" name="Picture 5"/>
            <wp:cNvGraphicFramePr>
              <a:graphicFrameLocks noChangeAspect="1"/>
            </wp:cNvGraphicFramePr>
            <a:graphic>
              <a:graphicData uri="http://schemas.openxmlformats.org/drawingml/2006/picture">
                <pic:pic>
                  <pic:nvPicPr>
                    <pic:cNvPr id="0" name="fig3c_turn_focus_crane_2409.png"/>
                    <pic:cNvPicPr/>
                  </pic:nvPicPr>
                  <pic:blipFill>
                    <a:blip r:embed="rId13"/>
                    <a:stretch>
                      <a:fillRect/>
                    </a:stretch>
                  </pic:blipFill>
                  <pic:spPr>
                    <a:xfrm>
                      <a:off x="0" y="0"/>
                      <a:ext cx="5989320" cy="2913723"/>
                    </a:xfrm>
                    <a:prstGeom prst="rect"/>
                  </pic:spPr>
                </pic:pic>
              </a:graphicData>
            </a:graphic>
          </wp:inline>
        </w:drawing>
      </w:r>
    </w:p>
    <w:p>
      <w:pPr>
        <w:jc w:val="center"/>
      </w:pPr>
      <w:r>
        <w:rPr>
          <w:rFonts w:ascii="宋体" w:hAnsi="宋体" w:eastAsia="宋体"/>
          <w:b w:val="0"/>
          <w:i w:val="0"/>
          <w:sz w:val="20"/>
        </w:rPr>
        <w:t>图3C：起重机大角度转弯目标聚焦对比</w:t>
      </w:r>
    </w:p>
    <w:p>
      <w:pPr>
        <w:jc w:val="center"/>
      </w:pPr>
      <w:r>
        <w:drawing>
          <wp:inline xmlns:a="http://schemas.openxmlformats.org/drawingml/2006/main" xmlns:pic="http://schemas.openxmlformats.org/drawingml/2006/picture">
            <wp:extent cx="5669280" cy="2116531"/>
            <wp:docPr id="6" name="Picture 6"/>
            <wp:cNvGraphicFramePr>
              <a:graphicFrameLocks noChangeAspect="1"/>
            </wp:cNvGraphicFramePr>
            <a:graphic>
              <a:graphicData uri="http://schemas.openxmlformats.org/drawingml/2006/picture">
                <pic:pic>
                  <pic:nvPicPr>
                    <pic:cNvPr id="0" name="fig4_turnaware_loss_mode_assignment_flow.png"/>
                    <pic:cNvPicPr/>
                  </pic:nvPicPr>
                  <pic:blipFill>
                    <a:blip r:embed="rId14"/>
                    <a:stretch>
                      <a:fillRect/>
                    </a:stretch>
                  </pic:blipFill>
                  <pic:spPr>
                    <a:xfrm>
                      <a:off x="0" y="0"/>
                      <a:ext cx="5669280" cy="2116531"/>
                    </a:xfrm>
                    <a:prstGeom prst="rect"/>
                  </pic:spPr>
                </pic:pic>
              </a:graphicData>
            </a:graphic>
          </wp:inline>
        </w:drawing>
      </w:r>
    </w:p>
    <w:p>
      <w:pPr>
        <w:jc w:val="center"/>
      </w:pPr>
      <w:r>
        <w:rPr>
          <w:rFonts w:ascii="宋体" w:hAnsi="宋体" w:eastAsia="宋体"/>
          <w:b w:val="0"/>
          <w:i w:val="0"/>
          <w:sz w:val="20"/>
        </w:rPr>
        <w:t>图4：转弯感知损失与模式分配流程</w:t>
      </w:r>
    </w:p>
    <w:p>
      <w:pPr>
        <w:jc w:val="center"/>
      </w:pPr>
      <w:r>
        <w:drawing>
          <wp:inline xmlns:a="http://schemas.openxmlformats.org/drawingml/2006/main" xmlns:pic="http://schemas.openxmlformats.org/drawingml/2006/picture">
            <wp:extent cx="5669280" cy="3099206"/>
            <wp:docPr id="7" name="Picture 7"/>
            <wp:cNvGraphicFramePr>
              <a:graphicFrameLocks noChangeAspect="1"/>
            </wp:cNvGraphicFramePr>
            <a:graphic>
              <a:graphicData uri="http://schemas.openxmlformats.org/drawingml/2006/picture">
                <pic:pic>
                  <pic:nvPicPr>
                    <pic:cNvPr id="0" name="fig5_candidate_confidence_diagnosis.png"/>
                    <pic:cNvPicPr/>
                  </pic:nvPicPr>
                  <pic:blipFill>
                    <a:blip r:embed="rId15"/>
                    <a:stretch>
                      <a:fillRect/>
                    </a:stretch>
                  </pic:blipFill>
                  <pic:spPr>
                    <a:xfrm>
                      <a:off x="0" y="0"/>
                      <a:ext cx="5669280" cy="3099206"/>
                    </a:xfrm>
                    <a:prstGeom prst="rect"/>
                  </pic:spPr>
                </pic:pic>
              </a:graphicData>
            </a:graphic>
          </wp:inline>
        </w:drawing>
      </w:r>
    </w:p>
    <w:p>
      <w:pPr>
        <w:jc w:val="center"/>
      </w:pPr>
      <w:r>
        <w:rPr>
          <w:rFonts w:ascii="宋体" w:hAnsi="宋体" w:eastAsia="宋体"/>
          <w:b w:val="0"/>
          <w:i w:val="0"/>
          <w:sz w:val="20"/>
        </w:rPr>
        <w:t>图5：最高置信度候选/最优候选诊断示意</w:t>
      </w:r>
    </w:p>
    <w:p>
      <w:pPr>
        <w:jc w:val="center"/>
      </w:pPr>
      <w:r>
        <w:drawing>
          <wp:inline xmlns:a="http://schemas.openxmlformats.org/drawingml/2006/main" xmlns:pic="http://schemas.openxmlformats.org/drawingml/2006/picture">
            <wp:extent cx="5989320" cy="2728468"/>
            <wp:docPr id="8" name="Picture 8"/>
            <wp:cNvGraphicFramePr>
              <a:graphicFrameLocks noChangeAspect="1"/>
            </wp:cNvGraphicFramePr>
            <a:graphic>
              <a:graphicData uri="http://schemas.openxmlformats.org/drawingml/2006/picture">
                <pic:pic>
                  <pic:nvPicPr>
                    <pic:cNvPr id="0" name="fig6_prediction_network_architecture.png"/>
                    <pic:cNvPicPr/>
                  </pic:nvPicPr>
                  <pic:blipFill>
                    <a:blip r:embed="rId16"/>
                    <a:stretch>
                      <a:fillRect/>
                    </a:stretch>
                  </pic:blipFill>
                  <pic:spPr>
                    <a:xfrm>
                      <a:off x="0" y="0"/>
                      <a:ext cx="5989320" cy="2728468"/>
                    </a:xfrm>
                    <a:prstGeom prst="rect"/>
                  </pic:spPr>
                </pic:pic>
              </a:graphicData>
            </a:graphic>
          </wp:inline>
        </w:drawing>
      </w:r>
    </w:p>
    <w:p>
      <w:pPr>
        <w:jc w:val="center"/>
      </w:pPr>
      <w:r>
        <w:rPr>
          <w:rFonts w:ascii="宋体" w:hAnsi="宋体" w:eastAsia="宋体"/>
          <w:b w:val="0"/>
          <w:i w:val="0"/>
          <w:sz w:val="20"/>
        </w:rPr>
        <w:t>图6：预测网络总体架构及转弯感知模块嵌入位置示意</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