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0" w:type="dxa"/>
          <w:right w:w="0" w:type="dxa"/>
        </w:tblCellMar>
        <w:tblLook w:val="0000" w:firstRow="0" w:lastRow="0" w:firstColumn="0" w:lastColumn="0" w:noHBand="0" w:noVBand="0"/>
      </w:tblPr>
      <w:tblGrid>
        <w:gridCol w:w="3108"/>
        <w:gridCol w:w="6000"/>
      </w:tblGrid>
      <w:tr w:rsidR="00244405" w:rsidRPr="00BA20B1" w14:paraId="757F597C" w14:textId="77777777">
        <w:tc>
          <w:tcPr>
            <w:tcW w:w="3108" w:type="dxa"/>
            <w:tcMar>
              <w:top w:w="0" w:type="dxa"/>
              <w:left w:w="108" w:type="dxa"/>
              <w:bottom w:w="0" w:type="dxa"/>
              <w:right w:w="108" w:type="dxa"/>
            </w:tcMar>
          </w:tcPr>
          <w:p w14:paraId="0EB0F1FC" w14:textId="77777777" w:rsidR="00244405" w:rsidRPr="00BA20B1" w:rsidRDefault="00244405" w:rsidP="00244405">
            <w:pPr>
              <w:pStyle w:val="NormalWeb"/>
              <w:spacing w:before="120" w:beforeAutospacing="0"/>
              <w:jc w:val="center"/>
              <w:rPr>
                <w:sz w:val="26"/>
                <w:szCs w:val="28"/>
              </w:rPr>
            </w:pPr>
            <w:r>
              <w:rPr>
                <w:b/>
                <w:bCs/>
                <w:noProof/>
                <w:sz w:val="26"/>
                <w:szCs w:val="28"/>
              </w:rPr>
              <w:pict w14:anchorId="79C74F00">
                <v:line id="_x0000_s1027" style="position:absolute;left:0;text-align:left;z-index:2" from="57pt,27pt" to="87pt,27pt"/>
              </w:pict>
            </w:r>
            <w:r w:rsidRPr="00BA20B1">
              <w:rPr>
                <w:b/>
                <w:bCs/>
                <w:sz w:val="26"/>
                <w:szCs w:val="28"/>
              </w:rPr>
              <w:t>QUỐC HỘI</w:t>
            </w:r>
            <w:r w:rsidRPr="00BA20B1">
              <w:rPr>
                <w:b/>
                <w:bCs/>
                <w:sz w:val="26"/>
                <w:szCs w:val="28"/>
              </w:rPr>
              <w:br/>
            </w:r>
          </w:p>
        </w:tc>
        <w:tc>
          <w:tcPr>
            <w:tcW w:w="6000" w:type="dxa"/>
            <w:tcMar>
              <w:top w:w="0" w:type="dxa"/>
              <w:left w:w="108" w:type="dxa"/>
              <w:bottom w:w="0" w:type="dxa"/>
              <w:right w:w="108" w:type="dxa"/>
            </w:tcMar>
          </w:tcPr>
          <w:p w14:paraId="35400EAA" w14:textId="77777777" w:rsidR="00244405" w:rsidRPr="00BA20B1" w:rsidRDefault="00244405" w:rsidP="00244405">
            <w:pPr>
              <w:pStyle w:val="NormalWeb"/>
              <w:spacing w:before="120" w:beforeAutospacing="0"/>
              <w:jc w:val="center"/>
              <w:rPr>
                <w:sz w:val="26"/>
                <w:szCs w:val="28"/>
              </w:rPr>
            </w:pPr>
            <w:r>
              <w:rPr>
                <w:b/>
                <w:bCs/>
                <w:noProof/>
                <w:sz w:val="26"/>
                <w:szCs w:val="28"/>
              </w:rPr>
              <w:pict w14:anchorId="6E2EA6E9">
                <v:line id="_x0000_s1026" style="position:absolute;left:0;text-align:left;z-index:1;mso-position-horizontal-relative:text;mso-position-vertical-relative:text" from="60.6pt,45pt" to="222.6pt,45pt"/>
              </w:pict>
            </w:r>
            <w:r w:rsidRPr="00BA20B1">
              <w:rPr>
                <w:b/>
                <w:bCs/>
                <w:sz w:val="26"/>
                <w:szCs w:val="28"/>
              </w:rPr>
              <w:t xml:space="preserve">CỘNG HÒA XÃ HỘI CHỦ NGHĨA VIỆT </w:t>
            </w:r>
            <w:smartTag w:uri="urn:schemas-microsoft-com:office:smarttags" w:element="country-region">
              <w:smartTag w:uri="urn:schemas-microsoft-com:office:smarttags" w:element="place">
                <w:r w:rsidRPr="00BA20B1">
                  <w:rPr>
                    <w:b/>
                    <w:bCs/>
                    <w:sz w:val="26"/>
                    <w:szCs w:val="28"/>
                  </w:rPr>
                  <w:t>NAM</w:t>
                </w:r>
              </w:smartTag>
            </w:smartTag>
            <w:r w:rsidRPr="00BA20B1">
              <w:rPr>
                <w:b/>
                <w:bCs/>
                <w:sz w:val="26"/>
                <w:szCs w:val="28"/>
              </w:rPr>
              <w:br/>
            </w:r>
            <w:r w:rsidRPr="001F0AEE">
              <w:rPr>
                <w:b/>
                <w:bCs/>
                <w:sz w:val="28"/>
                <w:szCs w:val="28"/>
              </w:rPr>
              <w:t>Độc lập - Tự do - Hạnh phúc</w:t>
            </w:r>
            <w:r w:rsidRPr="001F0AEE">
              <w:rPr>
                <w:b/>
                <w:bCs/>
                <w:sz w:val="28"/>
                <w:szCs w:val="28"/>
              </w:rPr>
              <w:br/>
            </w:r>
          </w:p>
        </w:tc>
      </w:tr>
      <w:tr w:rsidR="00244405" w:rsidRPr="00BA20B1" w14:paraId="1C3057DE" w14:textId="77777777">
        <w:tc>
          <w:tcPr>
            <w:tcW w:w="3108" w:type="dxa"/>
            <w:tcMar>
              <w:top w:w="0" w:type="dxa"/>
              <w:left w:w="108" w:type="dxa"/>
              <w:bottom w:w="0" w:type="dxa"/>
              <w:right w:w="108" w:type="dxa"/>
            </w:tcMar>
          </w:tcPr>
          <w:p w14:paraId="3198E00F" w14:textId="77777777" w:rsidR="00244405" w:rsidRPr="00BA20B1" w:rsidRDefault="00244405" w:rsidP="00244405">
            <w:pPr>
              <w:pStyle w:val="NormalWeb"/>
              <w:spacing w:before="120" w:beforeAutospacing="0"/>
              <w:jc w:val="center"/>
              <w:rPr>
                <w:sz w:val="26"/>
                <w:szCs w:val="28"/>
              </w:rPr>
            </w:pPr>
            <w:r>
              <w:rPr>
                <w:sz w:val="26"/>
                <w:szCs w:val="28"/>
              </w:rPr>
              <w:t>Luật số: 27</w:t>
            </w:r>
            <w:r w:rsidRPr="00BA20B1">
              <w:rPr>
                <w:sz w:val="26"/>
                <w:szCs w:val="28"/>
              </w:rPr>
              <w:t>/2012/QH13</w:t>
            </w:r>
          </w:p>
        </w:tc>
        <w:tc>
          <w:tcPr>
            <w:tcW w:w="6000" w:type="dxa"/>
            <w:tcMar>
              <w:top w:w="0" w:type="dxa"/>
              <w:left w:w="108" w:type="dxa"/>
              <w:bottom w:w="0" w:type="dxa"/>
              <w:right w:w="108" w:type="dxa"/>
            </w:tcMar>
          </w:tcPr>
          <w:p w14:paraId="50D87C96" w14:textId="77777777" w:rsidR="00244405" w:rsidRPr="00BA20B1" w:rsidRDefault="00244405" w:rsidP="00244405">
            <w:pPr>
              <w:pStyle w:val="NormalWeb"/>
              <w:spacing w:before="120" w:beforeAutospacing="0"/>
              <w:jc w:val="center"/>
              <w:rPr>
                <w:sz w:val="26"/>
                <w:szCs w:val="28"/>
              </w:rPr>
            </w:pPr>
            <w:r w:rsidRPr="00BA20B1">
              <w:rPr>
                <w:i/>
                <w:iCs/>
                <w:sz w:val="26"/>
                <w:szCs w:val="28"/>
              </w:rPr>
              <w:t>Hà Nội, ngày 2</w:t>
            </w:r>
            <w:r>
              <w:rPr>
                <w:i/>
                <w:iCs/>
                <w:sz w:val="26"/>
                <w:szCs w:val="28"/>
              </w:rPr>
              <w:t xml:space="preserve">3 </w:t>
            </w:r>
            <w:r w:rsidRPr="00BA20B1">
              <w:rPr>
                <w:i/>
                <w:iCs/>
                <w:sz w:val="26"/>
                <w:szCs w:val="28"/>
              </w:rPr>
              <w:t xml:space="preserve"> tháng 11 năm 2012</w:t>
            </w:r>
          </w:p>
        </w:tc>
      </w:tr>
    </w:tbl>
    <w:p w14:paraId="05A79D2B" w14:textId="77777777" w:rsidR="00244405" w:rsidRPr="00244405" w:rsidRDefault="00244405" w:rsidP="00244405">
      <w:pPr>
        <w:pStyle w:val="NormalWeb"/>
        <w:spacing w:before="0" w:beforeAutospacing="0" w:after="0" w:afterAutospacing="0"/>
        <w:jc w:val="center"/>
        <w:rPr>
          <w:sz w:val="28"/>
          <w:szCs w:val="28"/>
        </w:rPr>
      </w:pPr>
      <w:r w:rsidRPr="00244405">
        <w:rPr>
          <w:b/>
          <w:bCs/>
          <w:sz w:val="28"/>
          <w:szCs w:val="28"/>
        </w:rPr>
        <w:t> </w:t>
      </w:r>
    </w:p>
    <w:p w14:paraId="0A4532F9" w14:textId="77777777" w:rsidR="00244405" w:rsidRPr="00244405" w:rsidRDefault="00244405" w:rsidP="00244405">
      <w:pPr>
        <w:pStyle w:val="NormalWeb"/>
        <w:spacing w:before="0" w:beforeAutospacing="0" w:after="0" w:afterAutospacing="0"/>
        <w:jc w:val="center"/>
        <w:rPr>
          <w:sz w:val="28"/>
          <w:szCs w:val="28"/>
        </w:rPr>
      </w:pPr>
      <w:r w:rsidRPr="00244405">
        <w:rPr>
          <w:b/>
          <w:bCs/>
          <w:sz w:val="28"/>
          <w:szCs w:val="28"/>
        </w:rPr>
        <w:t>LUẬT</w:t>
      </w:r>
    </w:p>
    <w:p w14:paraId="1BC11E5A" w14:textId="77777777" w:rsidR="00244405" w:rsidRDefault="00244405" w:rsidP="00244405">
      <w:pPr>
        <w:pStyle w:val="NormalWeb"/>
        <w:spacing w:before="0" w:beforeAutospacing="0" w:after="0" w:afterAutospacing="0"/>
        <w:jc w:val="center"/>
        <w:rPr>
          <w:b/>
          <w:sz w:val="28"/>
          <w:szCs w:val="28"/>
        </w:rPr>
      </w:pPr>
      <w:r>
        <w:rPr>
          <w:b/>
          <w:sz w:val="28"/>
          <w:szCs w:val="28"/>
        </w:rPr>
        <w:t>Sửa</w:t>
      </w:r>
      <w:r w:rsidRPr="00244405">
        <w:rPr>
          <w:b/>
          <w:sz w:val="28"/>
          <w:szCs w:val="28"/>
        </w:rPr>
        <w:t xml:space="preserve"> </w:t>
      </w:r>
      <w:r>
        <w:rPr>
          <w:b/>
          <w:sz w:val="28"/>
          <w:szCs w:val="28"/>
        </w:rPr>
        <w:t>đổi</w:t>
      </w:r>
      <w:r w:rsidRPr="00244405">
        <w:rPr>
          <w:b/>
          <w:sz w:val="28"/>
          <w:szCs w:val="28"/>
        </w:rPr>
        <w:t xml:space="preserve">, </w:t>
      </w:r>
      <w:r>
        <w:rPr>
          <w:b/>
          <w:sz w:val="28"/>
          <w:szCs w:val="28"/>
        </w:rPr>
        <w:t>bổ</w:t>
      </w:r>
      <w:r w:rsidRPr="00244405">
        <w:rPr>
          <w:b/>
          <w:sz w:val="28"/>
          <w:szCs w:val="28"/>
        </w:rPr>
        <w:t xml:space="preserve"> </w:t>
      </w:r>
      <w:r>
        <w:rPr>
          <w:b/>
          <w:sz w:val="28"/>
          <w:szCs w:val="28"/>
        </w:rPr>
        <w:t>sung</w:t>
      </w:r>
      <w:r w:rsidRPr="00244405">
        <w:rPr>
          <w:b/>
          <w:sz w:val="28"/>
          <w:szCs w:val="28"/>
        </w:rPr>
        <w:t xml:space="preserve"> </w:t>
      </w:r>
      <w:r>
        <w:rPr>
          <w:b/>
          <w:sz w:val="28"/>
          <w:szCs w:val="28"/>
        </w:rPr>
        <w:t>một</w:t>
      </w:r>
      <w:r w:rsidRPr="00244405">
        <w:rPr>
          <w:b/>
          <w:sz w:val="28"/>
          <w:szCs w:val="28"/>
        </w:rPr>
        <w:t xml:space="preserve"> </w:t>
      </w:r>
      <w:r>
        <w:rPr>
          <w:b/>
          <w:sz w:val="28"/>
          <w:szCs w:val="28"/>
        </w:rPr>
        <w:t>số</w:t>
      </w:r>
      <w:r w:rsidRPr="00244405">
        <w:rPr>
          <w:b/>
          <w:sz w:val="28"/>
          <w:szCs w:val="28"/>
        </w:rPr>
        <w:t xml:space="preserve"> </w:t>
      </w:r>
      <w:r>
        <w:rPr>
          <w:b/>
          <w:sz w:val="28"/>
          <w:szCs w:val="28"/>
        </w:rPr>
        <w:t>điều</w:t>
      </w:r>
      <w:r w:rsidRPr="00244405">
        <w:rPr>
          <w:b/>
          <w:sz w:val="28"/>
          <w:szCs w:val="28"/>
        </w:rPr>
        <w:t xml:space="preserve"> </w:t>
      </w:r>
      <w:r>
        <w:rPr>
          <w:b/>
          <w:sz w:val="28"/>
          <w:szCs w:val="28"/>
        </w:rPr>
        <w:t>của</w:t>
      </w:r>
      <w:r w:rsidRPr="00244405">
        <w:rPr>
          <w:b/>
          <w:sz w:val="28"/>
          <w:szCs w:val="28"/>
        </w:rPr>
        <w:t xml:space="preserve"> </w:t>
      </w:r>
      <w:r>
        <w:rPr>
          <w:b/>
          <w:sz w:val="28"/>
          <w:szCs w:val="28"/>
        </w:rPr>
        <w:t>Luật</w:t>
      </w:r>
      <w:r w:rsidRPr="00244405">
        <w:rPr>
          <w:b/>
          <w:sz w:val="28"/>
          <w:szCs w:val="28"/>
        </w:rPr>
        <w:t xml:space="preserve"> </w:t>
      </w:r>
      <w:r>
        <w:rPr>
          <w:b/>
          <w:sz w:val="28"/>
          <w:szCs w:val="28"/>
        </w:rPr>
        <w:t>Phòng</w:t>
      </w:r>
      <w:r w:rsidRPr="00244405">
        <w:rPr>
          <w:b/>
          <w:sz w:val="28"/>
          <w:szCs w:val="28"/>
        </w:rPr>
        <w:t xml:space="preserve">, </w:t>
      </w:r>
      <w:r>
        <w:rPr>
          <w:b/>
          <w:sz w:val="28"/>
          <w:szCs w:val="28"/>
        </w:rPr>
        <w:t>chống</w:t>
      </w:r>
      <w:r w:rsidRPr="00244405">
        <w:rPr>
          <w:b/>
          <w:sz w:val="28"/>
          <w:szCs w:val="28"/>
        </w:rPr>
        <w:t xml:space="preserve"> </w:t>
      </w:r>
      <w:r>
        <w:rPr>
          <w:b/>
          <w:sz w:val="28"/>
          <w:szCs w:val="28"/>
        </w:rPr>
        <w:t>tham</w:t>
      </w:r>
      <w:r w:rsidRPr="00244405">
        <w:rPr>
          <w:b/>
          <w:sz w:val="28"/>
          <w:szCs w:val="28"/>
        </w:rPr>
        <w:t xml:space="preserve"> </w:t>
      </w:r>
      <w:r>
        <w:rPr>
          <w:b/>
          <w:sz w:val="28"/>
          <w:szCs w:val="28"/>
        </w:rPr>
        <w:t>nhũng</w:t>
      </w:r>
    </w:p>
    <w:p w14:paraId="5AB61665" w14:textId="77777777" w:rsidR="00244405" w:rsidRPr="00244405" w:rsidRDefault="00244405" w:rsidP="00244405">
      <w:pPr>
        <w:pStyle w:val="NormalWeb"/>
        <w:spacing w:before="0" w:beforeAutospacing="0" w:after="0" w:afterAutospacing="0"/>
        <w:jc w:val="center"/>
        <w:rPr>
          <w:b/>
          <w:sz w:val="28"/>
          <w:szCs w:val="28"/>
        </w:rPr>
      </w:pPr>
      <w:r>
        <w:rPr>
          <w:b/>
          <w:noProof/>
          <w:sz w:val="28"/>
          <w:szCs w:val="28"/>
        </w:rPr>
        <w:pict w14:anchorId="0EC638DA">
          <v:line id="_x0000_s1030" style="position:absolute;left:0;text-align:left;z-index:3" from="156pt,5.5pt" to="300pt,5.5pt"/>
        </w:pict>
      </w:r>
    </w:p>
    <w:p w14:paraId="16860745"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i/>
          <w:iCs/>
          <w:sz w:val="28"/>
          <w:szCs w:val="28"/>
        </w:rPr>
        <w:t>Căn cứ Hiến pháp nước Cộng hòa xã hội chủ nghĩa Việt Nam năm 1992 đã được sửa đổi, bổ sung một số điều theo Nghị quyết số 51/2001/QH10;</w:t>
      </w:r>
    </w:p>
    <w:p w14:paraId="2ED1AF18"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i/>
          <w:iCs/>
          <w:sz w:val="28"/>
          <w:szCs w:val="28"/>
        </w:rPr>
        <w:t xml:space="preserve">Quốc hội ban hành Luật </w:t>
      </w:r>
      <w:r>
        <w:rPr>
          <w:i/>
          <w:iCs/>
          <w:sz w:val="28"/>
          <w:szCs w:val="28"/>
        </w:rPr>
        <w:t>S</w:t>
      </w:r>
      <w:r w:rsidRPr="00244405">
        <w:rPr>
          <w:i/>
          <w:iCs/>
          <w:sz w:val="28"/>
          <w:szCs w:val="28"/>
        </w:rPr>
        <w:t>ửa đổi, bổ sung một số điều của Luật</w:t>
      </w:r>
      <w:r w:rsidR="00506A35">
        <w:rPr>
          <w:i/>
          <w:iCs/>
          <w:sz w:val="28"/>
          <w:szCs w:val="28"/>
        </w:rPr>
        <w:t xml:space="preserve"> </w:t>
      </w:r>
      <w:r>
        <w:rPr>
          <w:i/>
          <w:iCs/>
          <w:sz w:val="28"/>
          <w:szCs w:val="28"/>
        </w:rPr>
        <w:t>P</w:t>
      </w:r>
      <w:r w:rsidRPr="00244405">
        <w:rPr>
          <w:i/>
          <w:iCs/>
          <w:sz w:val="28"/>
          <w:szCs w:val="28"/>
        </w:rPr>
        <w:t>phòng, chống tham nhũng số 55/2005/QH11 đã được sửa đổi, bổ sung một sổ điều theo Luật số 01/2007/QH12,</w:t>
      </w:r>
    </w:p>
    <w:p w14:paraId="3D36FB1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0" w:name="chuong_1"/>
      <w:r w:rsidRPr="00244405">
        <w:rPr>
          <w:b/>
          <w:bCs/>
          <w:sz w:val="28"/>
          <w:szCs w:val="28"/>
        </w:rPr>
        <w:t>Điều 1.</w:t>
      </w:r>
      <w:bookmarkEnd w:id="0"/>
    </w:p>
    <w:p w14:paraId="014AA2B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Sửa đổi</w:t>
      </w:r>
      <w:r>
        <w:rPr>
          <w:sz w:val="28"/>
          <w:szCs w:val="28"/>
        </w:rPr>
        <w:t>, bổ sung một số điều của Luật P</w:t>
      </w:r>
      <w:r w:rsidRPr="00244405">
        <w:rPr>
          <w:sz w:val="28"/>
          <w:szCs w:val="28"/>
        </w:rPr>
        <w:t>hòng, chống tham nhũng:</w:t>
      </w:r>
    </w:p>
    <w:p w14:paraId="27519476"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1" w:name="dieu_1"/>
      <w:r w:rsidRPr="00244405">
        <w:rPr>
          <w:sz w:val="28"/>
          <w:szCs w:val="28"/>
        </w:rPr>
        <w:t>1. Khoản 2 Điều 12 được sửa đổi, bổ sung như sau:</w:t>
      </w:r>
      <w:bookmarkEnd w:id="1"/>
    </w:p>
    <w:p w14:paraId="7FB9330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Trong trường hợp pháp luật không có quy định về hình thức công khai, người đứng đầu cơ quan, tổ chức, đơn vị phải thực hiện một hoặc một số hình thức công khai quy định tại các điểm b, c, d, đ và e khoản 1 Điều này. Ngoài ra, người đứng đầu cơ quan, tổ chức, đơn vị có thể lựa chọn thêm hình thức công khai quy định tại điểm a, điểm g khoản 1 Điều này.”</w:t>
      </w:r>
    </w:p>
    <w:p w14:paraId="7EE6A548"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2" w:name="dieu_2"/>
      <w:r w:rsidRPr="00244405">
        <w:rPr>
          <w:sz w:val="28"/>
          <w:szCs w:val="28"/>
        </w:rPr>
        <w:t>2. Điểm b khoản 2 Điều 13 được sửa đổi, bổ sung như sau:</w:t>
      </w:r>
      <w:bookmarkEnd w:id="2"/>
    </w:p>
    <w:p w14:paraId="715FC3BF"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“b) Danh mục các dự án chỉ định thầu, lý do chỉ định thầu, thông tin về nhà thầu được chỉ định; danh mục các dự án đấu thầu hạn chế, nhà thầu tham gia đấu thầu hạn chế, danh sách ngắn nhà thầu tham gia đấu thầu hạn chế, lý do đấu thầu hạn chế, kết quả lựa chọn nhà thầu;”</w:t>
      </w:r>
    </w:p>
    <w:p w14:paraId="01E57BB0"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3" w:name="dieu_3"/>
      <w:r w:rsidRPr="00244405">
        <w:rPr>
          <w:sz w:val="28"/>
          <w:szCs w:val="28"/>
        </w:rPr>
        <w:t>3. Điều 14 được sửa đổi, bổ sung như sau:</w:t>
      </w:r>
      <w:bookmarkEnd w:id="3"/>
    </w:p>
    <w:p w14:paraId="5BC6C7CF"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14. Công khai, minh bạch trong quản lý dự án đầu tư xây dựng</w:t>
      </w:r>
    </w:p>
    <w:p w14:paraId="73EC24DE"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Trong quản lý dự án đầu tư xây dựng, phải công khai, minh bạch các nội dung sau đây:</w:t>
      </w:r>
    </w:p>
    <w:p w14:paraId="454F533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a) Báo cáo tiền khả thi, báo cáo khả thi, báo cáo đánh giá tác động kinh tế - xã hội; các mục tiêu, dự kiến kết quả, các nhóm hoạt động chính và đối tượng thụ hưởng trong quá trình lập dự án;</w:t>
      </w:r>
    </w:p>
    <w:p w14:paraId="0F38DE92"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h) Quyết định phê duyệt dự án, kế hoạch thực hiện dự án;</w:t>
      </w:r>
    </w:p>
    <w:p w14:paraId="13BF3C3E"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c) Báo cáo tiến độ, báo cáo kết quả thực hiện dự án, báo cáo đánh giá thực hiện dự án và báo cáo kết thúc dự án.</w:t>
      </w:r>
    </w:p>
    <w:p w14:paraId="2A76C8A7"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 xml:space="preserve">2. Dự án quy hoạch đầu tư xây dựng phải được lấy ý kiến của nhân dân địa phương nơi quy hoạch về nội dung quy định tại điểm a khoản 1 Điều này và sau </w:t>
      </w:r>
      <w:r w:rsidRPr="00244405">
        <w:rPr>
          <w:sz w:val="28"/>
          <w:szCs w:val="28"/>
        </w:rPr>
        <w:lastRenderedPageBreak/>
        <w:t>khi được phê duyệt phải được công khai về các nội dung quy định tại điểm b và điểm c khoản 1 Điều này.</w:t>
      </w:r>
    </w:p>
    <w:p w14:paraId="29FC7600"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3. Dự án đầu tư xây dựng từ ngân sách địa phương phải được Hội đồng nhân dân xem xét, quyết định.</w:t>
      </w:r>
    </w:p>
    <w:p w14:paraId="5547B4D7"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4. Dự án đầu tư xây dựng sau khi được quyết định, phê duyệt phải được công khai về nội dung quy định tại điểm b và điểm c khoản 1 Điều này để nhân dân giám sát.”</w:t>
      </w:r>
    </w:p>
    <w:p w14:paraId="3AF189F3"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4" w:name="dieu_4"/>
      <w:r w:rsidRPr="00244405">
        <w:rPr>
          <w:sz w:val="28"/>
          <w:szCs w:val="28"/>
        </w:rPr>
        <w:t>4. Bổ sung khoản 7 Điều 15 như sau:</w:t>
      </w:r>
      <w:bookmarkEnd w:id="4"/>
    </w:p>
    <w:p w14:paraId="5F46140E"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“7. Cơ quan thuế, cơ quan hải quan và cơ quan, tổ chức, đơn vị khác có thu phí, lệ phí phải công khai căn cứ tính mức thu, số thu thực tế, đối tượng miễn, giảm và căn cứ miễn, giảm các khoản thu ngân sách.”</w:t>
      </w:r>
    </w:p>
    <w:p w14:paraId="1E7C42B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5" w:name="dieu_5"/>
      <w:r w:rsidRPr="00244405">
        <w:rPr>
          <w:sz w:val="28"/>
          <w:szCs w:val="28"/>
        </w:rPr>
        <w:t>5. Điều 18 được sửa đổi, bổ sung như sau:</w:t>
      </w:r>
      <w:bookmarkEnd w:id="5"/>
    </w:p>
    <w:p w14:paraId="20173F78"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18. Công khai, minh bạch trong quản lý doanh nghiệp nhà nước</w:t>
      </w:r>
    </w:p>
    <w:p w14:paraId="36EA96CA"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Doanh nghiệp nhà nước có trách nhiệm công khai các nội dung sau đây:</w:t>
      </w:r>
    </w:p>
    <w:p w14:paraId="60A7A610"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a) Vốn và tài sản của Nhà nước đầu tư vào doanh nghiệp;</w:t>
      </w:r>
    </w:p>
    <w:p w14:paraId="1A9A961F"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b) Vốn và tài sản của doanh nghiệp đầu tư vào công ty con, công ty liên kết;</w:t>
      </w:r>
    </w:p>
    <w:p w14:paraId="377DE2BA"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c) Các khoản đầu tư ngoài ngành nghề kinh doanh chính;</w:t>
      </w:r>
    </w:p>
    <w:p w14:paraId="736FCDA3"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d) Vốn vay ưu đãi;</w:t>
      </w:r>
    </w:p>
    <w:p w14:paraId="2330DEC7"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đ) Báo cáo tài chính và báo cáo kiểm toán;</w:t>
      </w:r>
    </w:p>
    <w:p w14:paraId="24DF35D0"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e) Việc lập và sử dụng quỹ của doanh nghiệp;</w:t>
      </w:r>
    </w:p>
    <w:p w14:paraId="222024E9"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g) Việc bổ nhiệm chức danh lãnh đạo, quản lý;</w:t>
      </w:r>
    </w:p>
    <w:p w14:paraId="4634C8E6"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h) Họ, tên, nhiệm vụ, lương và các khoản thu nhập khác của người trong Hội đồng thành viên, Hội đồng quản trị, Tổng giám đốc, Phó Tổng giám đốc, Giám đốc, Phó Giám đốc, Kiểm soát viên, Kế toán trưởng.</w:t>
      </w:r>
    </w:p>
    <w:p w14:paraId="720BF99E"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Hằng năm, doanh nghiệp nhà nước do Thủ tướng Chính phủ thành lập phải báo cáo bằng văn bản các nội dung quy định tại khoản 1 Điều này với Bộ Tài chính, bộ quản lý nhà nước về ngành, lĩnh vực kinh doanh chính và Thanh tra Chính phủ.</w:t>
      </w:r>
    </w:p>
    <w:p w14:paraId="507408F9"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Hằng năm, doanh nghiệp nhà nước do Bộ trưởng thành lập phải báo cáo bằng văn bản các nội dung quy định tại khoản 1 Điều này với Bộ Tài chính, bộ quản lý nhà nước về ngành, lĩnh vực kinh doanh chính, Thanh tra Chính phủ và Thanh tra bộ chủ quản.</w:t>
      </w:r>
    </w:p>
    <w:p w14:paraId="0E892BE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Hằng năm, doanh nghiệp nhà nước do Chủ tịch Ủy ban nhân dân tỉnh, thành phố trực thuộc trung ương thành lập phải báo cáo bằng văn bản các nội dung quy định tại khoản 1 Điều này với Sở tài chính, sở quản lý nhà nước về ngành, lĩnh vực kinh doanh chính và Thanh tra tỉnh, thành phố trực thuộc trung ương.”</w:t>
      </w:r>
    </w:p>
    <w:p w14:paraId="3F66D30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6" w:name="dieu_6"/>
      <w:r w:rsidRPr="00244405">
        <w:rPr>
          <w:sz w:val="28"/>
          <w:szCs w:val="28"/>
        </w:rPr>
        <w:lastRenderedPageBreak/>
        <w:t>6. Khoản 1 và khoản 2 Điều 19 được sửa đổi, bổ sung như sau:</w:t>
      </w:r>
      <w:bookmarkEnd w:id="6"/>
    </w:p>
    <w:p w14:paraId="66BB7D27"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Việc cổ phần hóa doanh nghiệp nhà nước phải công khai, minh bạch; không được cổ phần hóa khép kín trong nội bộ doanh nghiệp. Doanh nghiệp được cổ phần hóa có trách nhiệm công khai báo cáo tài chính, báo cáo kiểm toán, phương án, kế hoạch cổ phần hóa doanh nghiệp.</w:t>
      </w:r>
    </w:p>
    <w:p w14:paraId="41BD1C6E"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Cơ quan cử người đại diện phần vốn của Nhà nước ở doanh nghiệp có trách nhiệm công khai giá trị doanh nghiệp được cổ phần hóa và việc điều chỉnh giá trị doanh nghiệp (nếu có).”</w:t>
      </w:r>
    </w:p>
    <w:p w14:paraId="0EF88AF2"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7" w:name="dieu_7"/>
      <w:r w:rsidRPr="00244405">
        <w:rPr>
          <w:sz w:val="28"/>
          <w:szCs w:val="28"/>
        </w:rPr>
        <w:t>7. Điều 21 được sửa đổi, bổ sung như sau:</w:t>
      </w:r>
      <w:bookmarkEnd w:id="7"/>
    </w:p>
    <w:p w14:paraId="6FF7175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21. Công khai, minh bạch trong lĩnh vực tài nguyên và môi trường</w:t>
      </w:r>
    </w:p>
    <w:p w14:paraId="7548467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Trong lĩnh vực về đất đai, phải công khai, minh bạch các nội dung sau đây:</w:t>
      </w:r>
    </w:p>
    <w:p w14:paraId="70C5256A"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a) Công tác quy hoạch, kế hoạch sử dụng đất. Trong quá trình lập và điều chỉnh quy hoạch, kế hoạch sử dụng đất, cơ quan, tổ chức thực hiện việc lập quy hoạch, kế hoạch đó phải công khai cho nhân dân địa phương nơi được quy hoạch, điều chỉnh biết;</w:t>
      </w:r>
    </w:p>
    <w:p w14:paraId="56394506"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b) Quy hoạch, kế hoạch sử dụng đất, việc thu hồi đất, giải phóng mặt bằng, mức bồi thường, hỗ trợ và tái định cư khi thu hồi đất sau khi được cơ quan nhà nước có thẩm quyền quyết định, phê duyệt hoặc điều chỉnh;</w:t>
      </w:r>
    </w:p>
    <w:p w14:paraId="6E19D836"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c) Trình tự, thủ tục, thẩm quyền và việc cấp giấy chứng nhận quyền sử dụng đất; quy hoạch chi tiết và việc phân lô đất ở, đối tượng được giao đất làm nhà ở;</w:t>
      </w:r>
    </w:p>
    <w:p w14:paraId="70887212"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d) Các khoản thu tài chính cho ngân sách nhà nước từ việc quản lý, sử dụng đất và các khoản miễn, giảm tiền sử dụng đất, thuê đất.</w:t>
      </w:r>
    </w:p>
    <w:p w14:paraId="3D8D1074"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Trong lĩnh vực về khoáng sản và tài nguyên nước, phải công khai, minh bạch các nội dung sau đây:</w:t>
      </w:r>
    </w:p>
    <w:p w14:paraId="67BD0BFA"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a) Quy hoạch khoáng sản;</w:t>
      </w:r>
    </w:p>
    <w:p w14:paraId="5A816DD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b) Trình tự, thủ tục, thẩm quyền và việc cấp, gia hạn, thu hồi giấy phép về hoạt động khoáng sản, thủ tục thẩm định, phê duyệt trữ lượng khoáng sản, đóng cửa mỏ khoáng sản;</w:t>
      </w:r>
    </w:p>
    <w:p w14:paraId="326043F3"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c) Việc đấu giá quyền khai thác khoáng sản và khoanh định khu vực cấm, khu vực tạm thời cấm hoạt động khoáng sản và các khoản thu ngân sách từ việc quản lý, khai thác, sử dụng khoáng sản;</w:t>
      </w:r>
    </w:p>
    <w:p w14:paraId="321B8F8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d) Trình tự, thủ tục, thẩm quyền và việc cấp, gia hạn, thu hồi giấy phép thăm dò, khai thác, sử dụng tài nguyên nước, xả nước thải vào nguồn nước.</w:t>
      </w:r>
    </w:p>
    <w:p w14:paraId="665D139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3. Trong quản lý nhà nước về môi trường, phải công khai, minh bạch các nội dung sau đây:</w:t>
      </w:r>
    </w:p>
    <w:p w14:paraId="1BC6606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lastRenderedPageBreak/>
        <w:t>a) Điều kiện hành nghề và thủ tục lập hồ sơ, đăng ký, cấp giấy phép hành nghề, mã số quản lý chất thải;</w:t>
      </w:r>
    </w:p>
    <w:p w14:paraId="246C23C2"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b) Trình tự, thủ tục thẩm định và phê duyệt báo cáo đánh giá tác động môi trường; quyết định phê duyệt báo cáo đánh giá tác động môi trường;</w:t>
      </w:r>
    </w:p>
    <w:p w14:paraId="63A49DFE"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c) Quy hoạch thu gom, tái chế, xử lý chất thải.”</w:t>
      </w:r>
    </w:p>
    <w:p w14:paraId="3D4E1548"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8" w:name="dieu_8"/>
      <w:r w:rsidRPr="00244405">
        <w:rPr>
          <w:sz w:val="28"/>
          <w:szCs w:val="28"/>
        </w:rPr>
        <w:t>8. Khoản 2 và khoản 3 Điều 23 được sửa đổi, bổ sung như sau:</w:t>
      </w:r>
      <w:bookmarkEnd w:id="8"/>
    </w:p>
    <w:p w14:paraId="7793363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Cơ quan quản lý giáo dục phải công khai việc quản lý, sử dụng ngân sách, tài sản của Nhà nước, cơ sở vật chất, đội ngũ cán bộ, công chức, viên chức và nguồn lực tài chính cho hoạt động giáo dục; khoản hỗ trợ, các khoản đầu tư cho giáo dục và khoản thu khác theo quy định của pháp luật.</w:t>
      </w:r>
    </w:p>
    <w:p w14:paraId="659475C9"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Cơ sở giáo dục công lập phải công khai cam kết chất lượng giáo dục và kết quả kiểm định chất lượng giáo dục; điều kiện bảo đảm chất lượng giáo dục; việc thu, quản lý, sử dụng học phí, lệ phí tuyển sinh, các khoản thu từ hoạt động tư vấn, chuyển, giao công nghệ, khoản hỗ trợ, đầu tư cho giáo dục và khoản thu, chi tài chính khác theo quy định của pháp luật.”</w:t>
      </w:r>
    </w:p>
    <w:p w14:paraId="0B777FB5"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9" w:name="dieu_9"/>
      <w:r w:rsidRPr="00244405">
        <w:rPr>
          <w:sz w:val="28"/>
          <w:szCs w:val="28"/>
        </w:rPr>
        <w:t>9. Bổ sung Điều 26a vào sau Điều 26 như sau:</w:t>
      </w:r>
      <w:bookmarkEnd w:id="9"/>
    </w:p>
    <w:p w14:paraId="026AF483"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26a. Công khai, minh bạch trong lĩnh vực văn hóa, thông tin, truyền thông</w:t>
      </w:r>
    </w:p>
    <w:p w14:paraId="5C32EA14"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Trong lĩnh vực văn hóa, thông tin, truyền thông, phải công khai, minh bạch các nội dung sau đây:</w:t>
      </w:r>
    </w:p>
    <w:p w14:paraId="284AECB8"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Việc lập, phê duyệt quy hoạch, kế hoạch về văn hóa, thông tin, truyền thông;</w:t>
      </w:r>
    </w:p>
    <w:p w14:paraId="5D680517"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Trình tự, thủ tục, thẩm quyền và việc cấp phép, gia hạn, thu hồi giấy phép hoạt động trong lĩnh vực văn hóa, thông tin, truyền thông.”</w:t>
      </w:r>
    </w:p>
    <w:p w14:paraId="7A9830AC"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10" w:name="dieu_10"/>
      <w:r w:rsidRPr="00244405">
        <w:rPr>
          <w:sz w:val="28"/>
          <w:szCs w:val="28"/>
        </w:rPr>
        <w:t>10. Bổ sung Điều 26b vào sau Điều 26a như sau:</w:t>
      </w:r>
      <w:bookmarkEnd w:id="10"/>
    </w:p>
    <w:p w14:paraId="3B903736"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26b. Công khai, minh bạch trong lĩnh vực nông nghiệp và phát triển nông thôn</w:t>
      </w:r>
    </w:p>
    <w:p w14:paraId="26A2EED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Trong lĩnh vực nông nghiệp và phát triển nông thôn, phải công khai, minh bạch các nội dung sau đây:</w:t>
      </w:r>
    </w:p>
    <w:p w14:paraId="53B21209"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Chính sách khuyến khích về nông nghiệp, lâm nghiệp, ngư nghiệp và các chương trình về phát triển nông nghiệp, nông thôn;</w:t>
      </w:r>
    </w:p>
    <w:p w14:paraId="716AD23C"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Quy hoạch, kế hoạch phát triển rừng; điều kiện, trình tự, thủ tục giao rừng, cho thuê rừng, thu hồi rừng, chuyển mục đích sử dụng rừng, đăng ký quyền sử dụng rừng;</w:t>
      </w:r>
    </w:p>
    <w:p w14:paraId="2A104860"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3. Trình tự, thủ tục, thẩm quyền và việc cấp, thu hồi giấy phép kinh doanh thuốc bảo vệ thực vật, thuốc thú y, khai thác, chế biến nông sản, lâm sản, thủy sản, hải sản.”</w:t>
      </w:r>
    </w:p>
    <w:p w14:paraId="4DB55906"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11" w:name="dieu_11"/>
      <w:r w:rsidRPr="00244405">
        <w:rPr>
          <w:sz w:val="28"/>
          <w:szCs w:val="28"/>
        </w:rPr>
        <w:t>11. Bổ sung Điều 26c vào sau Điều 26b như sau:</w:t>
      </w:r>
      <w:bookmarkEnd w:id="11"/>
    </w:p>
    <w:p w14:paraId="41252654"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lastRenderedPageBreak/>
        <w:t>“Điều 26c. Công khai, minh bạch trong việc thực hiện chính sách an sinh xã hội</w:t>
      </w:r>
    </w:p>
    <w:p w14:paraId="493C349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Trong việc thực hiện chính sách an sinh xã hội, phải công khai, minh bạch các nội dung sau đây:</w:t>
      </w:r>
    </w:p>
    <w:p w14:paraId="25BB4B8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Điều kiện, tiêu chuẩn của đối tượng thụ hưởng, mức thụ hưởng; trình tự, thủ tục, thẩm quyền thực hiện chính sách, pháp luật về bảo hiểm xã hội, bảo hiểm y tế, bảo trợ xã hội, ưu đãi đối với người có công;</w:t>
      </w:r>
    </w:p>
    <w:p w14:paraId="1D4DEB8A"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Việc thực hiện chính sách, pháp luật về bảo hiểm xã hội, bảo hiểm y tế, bảo trợ xã hội, ưu đãi đối với người có công.”</w:t>
      </w:r>
    </w:p>
    <w:p w14:paraId="5151D104"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12" w:name="dieu_12"/>
      <w:r w:rsidRPr="00244405">
        <w:rPr>
          <w:sz w:val="28"/>
          <w:szCs w:val="28"/>
        </w:rPr>
        <w:t>12. Bổ sung Điều 26d vào sau Điều 26c như sau:</w:t>
      </w:r>
      <w:bookmarkEnd w:id="12"/>
    </w:p>
    <w:p w14:paraId="4ACC7605"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26d. Công khai, minh bạch trong việc thực hiện chính sách dân tộc</w:t>
      </w:r>
    </w:p>
    <w:p w14:paraId="20D8896A"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Trong việc thực hiện chính sách dân tộc, phải công khai, minh bạch các nội dung sau đây:</w:t>
      </w:r>
    </w:p>
    <w:p w14:paraId="2E1C7B0E"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Điều kiện, tiêu chuẩn của đối tượng thụ hưởng, mức thụ hưởng; trình tự, thủ tục, thẩm quyền thực hiện chính sách dân tộc thuộc vùng đồng bào dân tộc thiểu số khó khăn, đặc biệt khó khăn;</w:t>
      </w:r>
    </w:p>
    <w:p w14:paraId="15A98FDF"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Việc thực hiện các chương trình, dự án vùng đồng bào dân tộc thiểu số khó khăn, đặc biệt khó khăn;</w:t>
      </w:r>
    </w:p>
    <w:p w14:paraId="250111F0"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3. Báo cáo kết quả thực hiện chính sách dân tộc.”</w:t>
      </w:r>
    </w:p>
    <w:p w14:paraId="3519F94F"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13" w:name="dieu_13"/>
      <w:r w:rsidRPr="00244405">
        <w:rPr>
          <w:sz w:val="28"/>
          <w:szCs w:val="28"/>
        </w:rPr>
        <w:t>13. Khoản 2 Điều 27 được sửa đổi, bổ sung như sau:</w:t>
      </w:r>
      <w:bookmarkEnd w:id="13"/>
    </w:p>
    <w:p w14:paraId="407E0C5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Văn bản, quyết định sau đây phải được công khai, trừ trường hợp pháp luật có quy định khác:</w:t>
      </w:r>
    </w:p>
    <w:p w14:paraId="3EAD1C42"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a) Quyết định thanh tra, kết luận thanh tra, quyết định xử lý về thanh tra;</w:t>
      </w:r>
    </w:p>
    <w:p w14:paraId="1221ECF7"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b) Quyết định giải quyết khiếu nại;</w:t>
      </w:r>
    </w:p>
    <w:p w14:paraId="3A8C832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c) Kết luận nội dung tố cáo, quyết định xử lý hành vi vi phạm bị tố cáo;</w:t>
      </w:r>
    </w:p>
    <w:p w14:paraId="3B90CE6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d) Báo cáo kiểm toán; báo cáo thực hiện kết luận, kiến nghị kiểm toán của kiểm toán Nhà nước.”</w:t>
      </w:r>
    </w:p>
    <w:p w14:paraId="3D4A3D33"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14" w:name="dieu_14"/>
      <w:r w:rsidRPr="00244405">
        <w:rPr>
          <w:sz w:val="28"/>
          <w:szCs w:val="28"/>
        </w:rPr>
        <w:t>14. Điều 30 được sửa đổi, bổ sung như sau:</w:t>
      </w:r>
      <w:bookmarkEnd w:id="14"/>
    </w:p>
    <w:p w14:paraId="641A9ED3"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30. Công khai, minh bạch trong công tác tổ chức - cán bộ</w:t>
      </w:r>
    </w:p>
    <w:p w14:paraId="6C4BE190"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Trong công tác tổ chức - cán bộ, phải công khai, minh bạch các nội dung sau đây:</w:t>
      </w:r>
    </w:p>
    <w:p w14:paraId="36193425"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Tuyển dụng cán bộ, công chức, viên chức và người lao động khác vào cơ quan, tổ chức, đơn vị;</w:t>
      </w:r>
    </w:p>
    <w:p w14:paraId="7FF23964"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Quy hoạch, đào tạo, bồi dưỡng, đánh giá cán bộ, công chức, viên chức;</w:t>
      </w:r>
    </w:p>
    <w:p w14:paraId="0A90BC40"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3. Bổ nhiệm, miễn nhiệm, bãi nhiệm, cách chức, cho thôi việc, cho thôi giữ chức vụ, hưu trí đối với cán bộ, công chức, viên chức;</w:t>
      </w:r>
    </w:p>
    <w:p w14:paraId="6D928DB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lastRenderedPageBreak/>
        <w:t>4. Chuyển ngạch, nâng ngạch, luân chuyển, điều động, biệt phái đối với cán bộ, công chức, viên chức;</w:t>
      </w:r>
    </w:p>
    <w:p w14:paraId="2A543EC3"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5. Nâng lương, thưởng, khen thưởng, kỷ luật cán bộ, công chức, viên chức và người lao động khác;</w:t>
      </w:r>
    </w:p>
    <w:p w14:paraId="7CF8942E"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6. Việc thành lập, sáp nhập, chia, tách, giải thể các đơn vị trực thuộc.”</w:t>
      </w:r>
    </w:p>
    <w:p w14:paraId="6759A4A4"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15" w:name="dieu_15"/>
      <w:r w:rsidRPr="00244405">
        <w:rPr>
          <w:sz w:val="28"/>
          <w:szCs w:val="28"/>
        </w:rPr>
        <w:t>15. Khoản 3 Điều 32 được sửa đổi, bổ sung như sau:</w:t>
      </w:r>
      <w:bookmarkEnd w:id="15"/>
    </w:p>
    <w:p w14:paraId="750E1233"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“3. Trong thời hạn mười ngày, kể từ ngày nhận được yêu cầu, người được yêu cầu phải cung cấp thông tin; trường hợp chưa cung cấp hoặc nội dung được yêu cầu đã được công khai thì phải trả lời cho người yêu cầu biết.”</w:t>
      </w:r>
    </w:p>
    <w:p w14:paraId="37DD1A93"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16" w:name="dieu_16"/>
      <w:r w:rsidRPr="00244405">
        <w:rPr>
          <w:sz w:val="28"/>
          <w:szCs w:val="28"/>
        </w:rPr>
        <w:t>16. Bổ sung Điều 32a vào sau Điều 32 như sau:</w:t>
      </w:r>
      <w:bookmarkEnd w:id="16"/>
    </w:p>
    <w:p w14:paraId="3851508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32a. Trách nhiệm giải trình</w:t>
      </w:r>
    </w:p>
    <w:p w14:paraId="228BC7DA"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Khi có yêu cầu, cơ quan nhà nước có thẩm quyền phải giải trình về quyết định, hành vi của minh trong việc thực hiện nhiệm vụ, quyền hạn được giao trước cơ quan, tổ chức, cá nhân có quyền, lợi ích họp pháp bị tác động trực tiếp bởi quyết định, hành vi đó.</w:t>
      </w:r>
    </w:p>
    <w:p w14:paraId="677ECA7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Chính phủ quy định chi tiết về trách nhiệm của cơ quan có nghĩa vụ giải trình; trình tự, thủ tục của việc giải trình.”</w:t>
      </w:r>
    </w:p>
    <w:p w14:paraId="062B0484"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17" w:name="dieu_17"/>
      <w:r w:rsidRPr="00244405">
        <w:rPr>
          <w:sz w:val="28"/>
          <w:szCs w:val="28"/>
        </w:rPr>
        <w:t>17. Bổ sung Điều 46a vào sau Điều 46 như sau:</w:t>
      </w:r>
      <w:bookmarkEnd w:id="17"/>
    </w:p>
    <w:p w14:paraId="3B58ED08"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46a. Công khai bản kê khai tài sản</w:t>
      </w:r>
    </w:p>
    <w:p w14:paraId="5D8A24C5"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Việc công khai bản kê khai tài sản của người có nghĩa vụ kê khai được thực hiện như sau:</w:t>
      </w:r>
    </w:p>
    <w:p w14:paraId="17B183BE"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Bản kê khai tài sản của người có nghĩa vụ kê khai phải được công khai trong cơ quan, tổ chức, đơn vị nơi người đó thường xuyên làm việc.</w:t>
      </w:r>
    </w:p>
    <w:p w14:paraId="1017D243"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Người có thẩm quyền quản lý cán bộ, công chức, viên chức quyết định việc công khai bằng hình thức công bố tại cuộc họp hoặc niêm yết bản kê khai tại trụ sở làm việc của cơ quan, tổ chức, đơn vị. Thời điểm công khai được thực hiện trong khoảng thời gian từ ngày 01 tháng 01 đến ngày 31 tháng 3 hằng năm. Trường hợp công khai bằng hình thức niêm yết thì phải bảo đảm thời gian tối thiểu là ba mươi ngày liên tục;</w:t>
      </w:r>
    </w:p>
    <w:p w14:paraId="7CEA1DB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Bản kê khai tài sản của người ứng cử đại biểu Quốc hội, đại biểu Hội đồng nhân dân phải được công khai tại hội nghị cử tri nơi công tác của người đó. Thời điểm, hình thức công khai được thực hiện theo quy định của Hội đồng bầu cử;</w:t>
      </w:r>
    </w:p>
    <w:p w14:paraId="3C8208D6"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3. Bản kê khai tài sản của người dự kiến được bầu, phê chuẩn tại Quốc hội, Hội đồng nhân dân phải được công khai với đại biểu Quốc hội, đại biểu Hội đồng nhân dân tại kỳ họp. Thời điểm, hình thức công khai được thực hiện theo quy định của Ủy ban thường vụ Quốc hội, Thường trực Hội đồng nhân dân.”</w:t>
      </w:r>
    </w:p>
    <w:p w14:paraId="6399C53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18" w:name="dieu_18"/>
      <w:r w:rsidRPr="00244405">
        <w:rPr>
          <w:sz w:val="28"/>
          <w:szCs w:val="28"/>
        </w:rPr>
        <w:t>18. Bổ sung Điều 46b vào sau Điều 46a như sau:</w:t>
      </w:r>
      <w:bookmarkEnd w:id="18"/>
    </w:p>
    <w:p w14:paraId="1D2EE5A2"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46b. Nghĩa vụ giải trình nguồn gốc tài sản tăng thêm</w:t>
      </w:r>
    </w:p>
    <w:p w14:paraId="2B2C42D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lastRenderedPageBreak/>
        <w:t>1. Người kê khai tài sản có nghĩa vụ giải trình nguồn gốc phần tài sản tăng thêm quy định tại khoản 2 Điều 44 của Luật này.</w:t>
      </w:r>
    </w:p>
    <w:p w14:paraId="5C0D9E94"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Chính phủ quy định mức giá trị tài sản tăng thêm và việc xác định giá trị tài sản tăng thêm, thẩm quyền yêu cầu giải trình, trách nhiệm của người giải trình, trình tự, thủ tục của việc giải trình.”</w:t>
      </w:r>
    </w:p>
    <w:p w14:paraId="11897780"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19" w:name="dieu_19"/>
      <w:r w:rsidRPr="00244405">
        <w:rPr>
          <w:sz w:val="28"/>
          <w:szCs w:val="28"/>
        </w:rPr>
        <w:t>19. Điều 47 được sửa đổi, bổ sung như sau:</w:t>
      </w:r>
      <w:bookmarkEnd w:id="19"/>
    </w:p>
    <w:p w14:paraId="61BA13E8"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47. Xác minh tài sản</w:t>
      </w:r>
    </w:p>
    <w:p w14:paraId="3A9AA424"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Căn cứ để xác minh tài sản bao gồm:</w:t>
      </w:r>
    </w:p>
    <w:p w14:paraId="5997D264"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a) Khi có tố cáo về việc không trung thực trong kê khai tài sản của người có nghĩa vụ kê khai;</w:t>
      </w:r>
    </w:p>
    <w:p w14:paraId="306F33F3"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b) Khi xét thấy cần có thêm thông tin phục vụ cho việc bầu cử, bổ nhiệm, cách chức, miễn nhiệm, bãi nhiệm hoặc kỷ luật đối với người có nghĩa vụ kê khai tài sản;</w:t>
      </w:r>
    </w:p>
    <w:p w14:paraId="3528C127"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c) Khi có căn cứ cho rằng việc giải trình về nguồn gốc tài sản tăng thêm không hợp lý;</w:t>
      </w:r>
    </w:p>
    <w:p w14:paraId="7786C0C4"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d) Khi có yêu cầu của các cơ quan, tổ chức, cá nhân có thẩm quyền quy định tại Điều 47a của Luật này.</w:t>
      </w:r>
    </w:p>
    <w:p w14:paraId="079E29F9"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Khi có một trong những căn cứ quy định tại khoản 1 Điều này thì người có thẩm quyền quản lý cán bộ, công chức, viên chức có nghĩa vụ kê khai tài sản ra quyết định xác minh tài sản.”</w:t>
      </w:r>
    </w:p>
    <w:p w14:paraId="59BCF838"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20" w:name="dieu_20"/>
      <w:r w:rsidRPr="00244405">
        <w:rPr>
          <w:sz w:val="28"/>
          <w:szCs w:val="28"/>
        </w:rPr>
        <w:t>20. Bổ sung Điều 47a vào sau Điều 47 như sau:</w:t>
      </w:r>
      <w:bookmarkEnd w:id="20"/>
    </w:p>
    <w:p w14:paraId="418B501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47a. Thẩm quyền yêu cầu xác minh tài sản</w:t>
      </w:r>
    </w:p>
    <w:p w14:paraId="188D4539"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Khi có một trong các căn cứ quy định tại các điểm a, b và c khoản 1 Điều 47 của Luật này, các cơ quan, tổ chức, cá nhân sau đây có quyền yêu cầu người có thẩm quyền quản lý cán bộ, công chức, viên chức ra quyết định xác minh tài sản:</w:t>
      </w:r>
    </w:p>
    <w:p w14:paraId="7EA569A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a) Ủy ban thường vụ Quốc hội, Thường trực Hội đồng nhân dân có quyền yêu cầu xác minh tài sản đối với người dự kiến được Quốc hội, Hội đồng nhân dân bầu hoặc phê chuẩn;</w:t>
      </w:r>
    </w:p>
    <w:p w14:paraId="2AD24218"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b) Cơ quan thường vụ của tổ chức chính trị, tổ chức chính trị - xã hội có quyền yêu cầu xác minh tài sản đối với người dự kiến được bầu tại đại hội của tổ chức chính trị, tổ chức chính trị - xã hội;</w:t>
      </w:r>
    </w:p>
    <w:p w14:paraId="5F3E6F4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c) Thủ tướng Chính phủ, Chủ tịch Ủy ban nhân dân cấp tỉnh, cấp huyện có quyền yêu cầu xác minh tài sản đối với người dự kiến được Hội đồng nhân dân bầu;</w:t>
      </w:r>
    </w:p>
    <w:p w14:paraId="793EF6F6"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d) Hội đồng bầu cử, Ủy ban bầu cử hoặc Ủy ban Mặt trận Tổ quốc có quyền yêu cầu xác minh tài sản đối với người ứng cử đại biểu Quốc hội, đại biểu Hội đồng nhân dân;</w:t>
      </w:r>
    </w:p>
    <w:p w14:paraId="7F954036"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lastRenderedPageBreak/>
        <w:t>đ) Chủ tịch nước có quyền yêu cầu xác minh tài sản đối với người dự kiến được bổ nhiệm Phó Thủ tướng, Bộ trưởng, Thủ trưởng cơ quan ngang bộ, Phó Chánh án Tòa án nhân dân tối cao, Thẩm phán Tòa án nhân dân tối cao, Phó Viện trưởng Viện kiểm sát nhân dân tối cao, Kiểm sát viên Viện kiểm sát nhân dân tối cao;</w:t>
      </w:r>
    </w:p>
    <w:p w14:paraId="1BCD59C5"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e) Ủy ban thường vụ Quốc hội có quyền yêu cầu xác minh tài sản đối với người dự kiến được bổ nhiệm Phó Tổng Kiểm toán Nhà nước.</w:t>
      </w:r>
    </w:p>
    <w:p w14:paraId="2FF9A1A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Cơ quan thanh tra, Kiểm toán Nhà nước, cơ quan điều tra, Viện kiểm sát và cơ quan, tổ chức có thẩm quyền khác có quyền yêu cầu xác minh tài sản nếu trong quá trình tiến hành kiểm tra, thanh tra, kiểm toán, điều tra, kiểm sát có kết luận về trách nhiệm của người có nghĩa vụ kê khai tài sản liên quan đến hành vi tham nhũng.”</w:t>
      </w:r>
    </w:p>
    <w:p w14:paraId="16BC2BCA"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21" w:name="dieu_21"/>
      <w:r w:rsidRPr="00244405">
        <w:rPr>
          <w:sz w:val="28"/>
          <w:szCs w:val="28"/>
        </w:rPr>
        <w:t>21. Bổ sung khoản 6 Điều 48 như sau:</w:t>
      </w:r>
      <w:bookmarkEnd w:id="21"/>
    </w:p>
    <w:p w14:paraId="4BE891D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“6. Chính phủ quy định chi tiết trình tự, thủ tục xác minh tài sản.”</w:t>
      </w:r>
    </w:p>
    <w:p w14:paraId="3430AEF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22" w:name="dieu_22"/>
      <w:r w:rsidRPr="00244405">
        <w:rPr>
          <w:sz w:val="28"/>
          <w:szCs w:val="28"/>
        </w:rPr>
        <w:t>22. Bổ sung Điều 53a vào Mục 5, Chương II trước Điều 54 như sau:</w:t>
      </w:r>
      <w:bookmarkEnd w:id="22"/>
    </w:p>
    <w:p w14:paraId="4AB41D5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53a. Trách nhiệm của người đứng đầu cơ quan, tổ chức, đơn vị trong việc tạm đình chỉ công tác, tạm thời chuyển sang vị trí công tác khác đối với cán bộ, công chức, viên chức</w:t>
      </w:r>
    </w:p>
    <w:p w14:paraId="7AD702AC"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Khi có căn cứ cho rằng cán bộ, công chức, viên chức có hành vi vi phạm pháp luật liên quan đến tham nhũng, người đứng đầu cơ quan, tổ chức, đơn vị theo thẩm quyền hoặc đề nghị người có thẩm quyền quản lý cán bộ, công chức, viên chức tạm đình chỉ công tác hoặc tạm thời chuyển sang vị trí công tác khác đối với cán bộ, công chức, viên chức để xác minh, làm rõ hành vi tham nhũng nếu xét thấy người đó tiếp tục làm việc có thể gây khó khăn cho việc xem xét, xử lý.</w:t>
      </w:r>
    </w:p>
    <w:p w14:paraId="258E7FCA"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Người đứng đầu cơ quan, tổ chức, đơn vị hoặc người có thẩm quyền quản lý cán bộ, công chức, viên chức phải xem xét việc tạm đình chỉ công tác hoặc tạm thời chuyển sang vị trí công tác khác đối với cán bộ, công chức, viên chức khi nhận được yêu cầu của cơ quan thanh tra, kiểm toán Nhà nước, cơ quan điều tra, Viện kiểm sát nếu trong quá trình thanh tra, kiểm toán, điều tra, kiểm sát phát hiện có căn cứ cho rằng người đó có hành vi tham nhũng để xác minh, làm rõ hành vi tham nhũng.</w:t>
      </w:r>
    </w:p>
    <w:p w14:paraId="66C9333C"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3. Người đứng đầu cơ quan, tổ chức, đơn vị hoặc người có thẩm quyền quản lý cán bộ, công chức, viên chức phải hủy bỏ quyết định và thông báo công khai với toàn thể cán bộ, công chức, viên chức về việc hủy bỏ quyết định tạm đình chỉ công tác hoặc tạm thời chuyển sang vị trí công tác khác và khôi phục lại quyền, lợi ích hợp pháp của cán bộ, công chức, viên chức sau khi cơ quan có thẩm quyền kết luận người đó không có hành vi tham nhũng.</w:t>
      </w:r>
    </w:p>
    <w:p w14:paraId="4FBF703E"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 xml:space="preserve">4. Chính phủ quy định chi tiết về trình tự, thủ tục, thời hạn tạm đình chỉ, chuyển vị trí công tác khác; việc hưởng lương, phụ cấp, quyền, lợi ích khác và việc bồi thường, khôi phục lại quyền, lợi ích hợp pháp của cán bộ, công chức, </w:t>
      </w:r>
      <w:r w:rsidRPr="00244405">
        <w:rPr>
          <w:sz w:val="28"/>
          <w:szCs w:val="28"/>
        </w:rPr>
        <w:lastRenderedPageBreak/>
        <w:t>viên chức sau khi cơ quan, tổ chức có thẩm quyền kết luận người đó không có hành vi tham nhũng.”</w:t>
      </w:r>
    </w:p>
    <w:p w14:paraId="7E41E67E"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23" w:name="dieu_23"/>
      <w:r w:rsidRPr="00244405">
        <w:rPr>
          <w:sz w:val="28"/>
          <w:szCs w:val="28"/>
        </w:rPr>
        <w:t>23. Khoản 4 Điều 55 được sửa đổi, bổ sung như sau:</w:t>
      </w:r>
      <w:bookmarkEnd w:id="23"/>
    </w:p>
    <w:p w14:paraId="41346629"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“4. Kết luận thanh tra, báo cáo kiểm toán, kết luận điều tra vụ việc, vụ án tham nhũng phải nêu rõ trách nhiệm của người đứng đầu cơ quan, tổ chức, đơn vị để xảy ra hành vi tham nhũng theo các mức độ sau đây:</w:t>
      </w:r>
    </w:p>
    <w:p w14:paraId="12400C70"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a) Yếu kém về năng lực quản lý;</w:t>
      </w:r>
    </w:p>
    <w:p w14:paraId="3E29DA7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b) Thiếu trách nhiệm trong quản lý;</w:t>
      </w:r>
    </w:p>
    <w:p w14:paraId="66AFB0E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c) Bao che cho người có hành vi tham nhũng.</w:t>
      </w:r>
    </w:p>
    <w:p w14:paraId="7D231A75"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Kết luận, báo cáo phải được gửi cho cơ quan, tổ chức, cá nhân có thẩm quyền quản lý cán bộ,”</w:t>
      </w:r>
    </w:p>
    <w:p w14:paraId="46BAFAB5"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24" w:name="dieu_24"/>
      <w:r w:rsidRPr="00244405">
        <w:rPr>
          <w:sz w:val="28"/>
          <w:szCs w:val="28"/>
        </w:rPr>
        <w:t>24. Điều 77 được sửa đổi, bổ sung như sau:</w:t>
      </w:r>
      <w:bookmarkEnd w:id="24"/>
    </w:p>
    <w:p w14:paraId="0E30C381"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b/>
          <w:bCs/>
          <w:sz w:val="28"/>
          <w:szCs w:val="28"/>
        </w:rPr>
        <w:t>“Điều 77. Trách nhiệm của Kiểm toán Nhà nước</w:t>
      </w:r>
    </w:p>
    <w:p w14:paraId="7FC8E5DB"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Trong phạm vi nhiệm vụ, quyền hạn của mình, Kiểm toán Nhà nước có trách nhiệm tổ chức thực hiện việc kiểm toán nhằm phòng ngừa, phát hiện và phối hợp xử lý hành vi tham nhũng; trường hợp phát hiện hành vi tham nhũng thì chuyển hồ sơ cho cơ quan điều tra, Viện kiểm sát hoặc cơ quan, tổ chức có thẩm quyền xử lý.”</w:t>
      </w:r>
    </w:p>
    <w:p w14:paraId="5926F306"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25" w:name="dieu_25"/>
      <w:r w:rsidRPr="00244405">
        <w:rPr>
          <w:sz w:val="28"/>
          <w:szCs w:val="28"/>
        </w:rPr>
        <w:t>25. Bãi bỏ Điều 73.</w:t>
      </w:r>
      <w:bookmarkEnd w:id="25"/>
    </w:p>
    <w:p w14:paraId="46461FBF"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bookmarkStart w:id="26" w:name="chuong_2"/>
      <w:r w:rsidRPr="00244405">
        <w:rPr>
          <w:b/>
          <w:bCs/>
          <w:sz w:val="28"/>
          <w:szCs w:val="28"/>
        </w:rPr>
        <w:t>Điều 2.</w:t>
      </w:r>
      <w:bookmarkEnd w:id="26"/>
    </w:p>
    <w:p w14:paraId="0B3CB1D0"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1. Luật này có hiệu lực thi hành từ ngày 01 tháng 02 năm 2013.</w:t>
      </w:r>
    </w:p>
    <w:p w14:paraId="327E40B8"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sz w:val="28"/>
          <w:szCs w:val="28"/>
        </w:rPr>
        <w:t>2. Chính phủ quy định chi tiết, hướng dẫn thi hành những điều, khoản được giao trong Luật.</w:t>
      </w:r>
    </w:p>
    <w:p w14:paraId="3085A99D" w14:textId="77777777" w:rsidR="00244405" w:rsidRPr="00244405" w:rsidRDefault="00244405" w:rsidP="00244405">
      <w:pPr>
        <w:pStyle w:val="NormalWeb"/>
        <w:spacing w:before="120" w:beforeAutospacing="0" w:after="120" w:afterAutospacing="0" w:line="320" w:lineRule="exact"/>
        <w:ind w:firstLine="567"/>
        <w:jc w:val="both"/>
        <w:rPr>
          <w:sz w:val="28"/>
          <w:szCs w:val="28"/>
        </w:rPr>
      </w:pPr>
      <w:r w:rsidRPr="00244405">
        <w:rPr>
          <w:i/>
          <w:iCs/>
          <w:sz w:val="28"/>
          <w:szCs w:val="28"/>
        </w:rPr>
        <w:t>Luật này đã được Quốc hội nước Cộng hòa xã hội chủ nghĩa Việt Nam khóa XIII, kỳ họp thứ 4 thông qua ngày 23 tháng 11 năm 2012./.</w:t>
      </w:r>
    </w:p>
    <w:tbl>
      <w:tblPr>
        <w:tblW w:w="0" w:type="auto"/>
        <w:tblInd w:w="108" w:type="dxa"/>
        <w:tblCellMar>
          <w:left w:w="0" w:type="dxa"/>
          <w:right w:w="0" w:type="dxa"/>
        </w:tblCellMar>
        <w:tblLook w:val="0000" w:firstRow="0" w:lastRow="0" w:firstColumn="0" w:lastColumn="0" w:noHBand="0" w:noVBand="0"/>
      </w:tblPr>
      <w:tblGrid>
        <w:gridCol w:w="4445"/>
        <w:gridCol w:w="4555"/>
      </w:tblGrid>
      <w:tr w:rsidR="00244405" w:rsidRPr="00244405" w14:paraId="38B67AB5" w14:textId="77777777">
        <w:tc>
          <w:tcPr>
            <w:tcW w:w="4445" w:type="dxa"/>
            <w:tcMar>
              <w:top w:w="0" w:type="dxa"/>
              <w:left w:w="108" w:type="dxa"/>
              <w:bottom w:w="0" w:type="dxa"/>
              <w:right w:w="108" w:type="dxa"/>
            </w:tcMar>
          </w:tcPr>
          <w:p w14:paraId="12C8AC8D" w14:textId="77777777" w:rsidR="00244405" w:rsidRPr="001F0AEE" w:rsidRDefault="00244405" w:rsidP="00244405">
            <w:pPr>
              <w:pStyle w:val="NormalWeb"/>
              <w:spacing w:before="0" w:beforeAutospacing="0" w:after="0" w:afterAutospacing="0"/>
              <w:jc w:val="center"/>
              <w:rPr>
                <w:sz w:val="26"/>
                <w:szCs w:val="28"/>
              </w:rPr>
            </w:pPr>
          </w:p>
        </w:tc>
        <w:tc>
          <w:tcPr>
            <w:tcW w:w="4555" w:type="dxa"/>
            <w:tcMar>
              <w:top w:w="0" w:type="dxa"/>
              <w:left w:w="108" w:type="dxa"/>
              <w:bottom w:w="0" w:type="dxa"/>
              <w:right w:w="108" w:type="dxa"/>
            </w:tcMar>
          </w:tcPr>
          <w:p w14:paraId="37905FC3" w14:textId="77777777" w:rsidR="00244405" w:rsidRPr="001F0AEE" w:rsidRDefault="00244405" w:rsidP="00244405">
            <w:pPr>
              <w:pStyle w:val="NormalWeb"/>
              <w:spacing w:before="0" w:beforeAutospacing="0" w:after="0" w:afterAutospacing="0"/>
              <w:jc w:val="center"/>
              <w:rPr>
                <w:sz w:val="26"/>
                <w:szCs w:val="28"/>
              </w:rPr>
            </w:pPr>
            <w:r w:rsidRPr="001F0AEE">
              <w:rPr>
                <w:b/>
                <w:bCs/>
                <w:sz w:val="26"/>
                <w:szCs w:val="28"/>
              </w:rPr>
              <w:t>CHỦ TỊCH QUỐC HỘI</w:t>
            </w:r>
            <w:r w:rsidRPr="001F0AEE">
              <w:rPr>
                <w:b/>
                <w:bCs/>
                <w:sz w:val="26"/>
                <w:szCs w:val="28"/>
              </w:rPr>
              <w:br/>
            </w:r>
            <w:r w:rsidRPr="001F0AEE">
              <w:rPr>
                <w:b/>
                <w:bCs/>
                <w:sz w:val="26"/>
                <w:szCs w:val="28"/>
              </w:rPr>
              <w:br/>
            </w:r>
            <w:r w:rsidRPr="001F0AEE">
              <w:rPr>
                <w:b/>
                <w:bCs/>
                <w:i/>
                <w:szCs w:val="28"/>
              </w:rPr>
              <w:t xml:space="preserve">(Đã ký) </w:t>
            </w:r>
            <w:r w:rsidRPr="001F0AEE">
              <w:rPr>
                <w:b/>
                <w:bCs/>
                <w:i/>
                <w:szCs w:val="28"/>
              </w:rPr>
              <w:br/>
            </w:r>
            <w:r w:rsidRPr="001F0AEE">
              <w:rPr>
                <w:b/>
                <w:bCs/>
                <w:sz w:val="26"/>
                <w:szCs w:val="28"/>
              </w:rPr>
              <w:br/>
              <w:t>Nguyễn Sinh Hùng</w:t>
            </w:r>
          </w:p>
        </w:tc>
      </w:tr>
    </w:tbl>
    <w:p w14:paraId="4B8E3471" w14:textId="77777777" w:rsidR="00244405" w:rsidRPr="00244405" w:rsidRDefault="00244405" w:rsidP="00244405">
      <w:pPr>
        <w:pStyle w:val="NormalWeb"/>
        <w:spacing w:before="120" w:beforeAutospacing="0"/>
        <w:rPr>
          <w:sz w:val="28"/>
          <w:szCs w:val="28"/>
        </w:rPr>
      </w:pPr>
      <w:r w:rsidRPr="00244405">
        <w:rPr>
          <w:b/>
          <w:bCs/>
          <w:sz w:val="28"/>
          <w:szCs w:val="28"/>
        </w:rPr>
        <w:t> </w:t>
      </w:r>
    </w:p>
    <w:p w14:paraId="297E9FDB" w14:textId="77777777" w:rsidR="00BB7D72" w:rsidRPr="00244405" w:rsidRDefault="00BB7D72">
      <w:pPr>
        <w:rPr>
          <w:sz w:val="28"/>
          <w:szCs w:val="28"/>
        </w:rPr>
      </w:pPr>
    </w:p>
    <w:sectPr w:rsidR="00BB7D72" w:rsidRPr="00244405" w:rsidSect="0024440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4405"/>
    <w:rsid w:val="001B5C24"/>
    <w:rsid w:val="00244405"/>
    <w:rsid w:val="002A4DDC"/>
    <w:rsid w:val="00506A35"/>
    <w:rsid w:val="006851A7"/>
    <w:rsid w:val="00BB7D72"/>
    <w:rsid w:val="00FE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31"/>
    <o:shapelayout v:ext="edit">
      <o:idmap v:ext="edit" data="1"/>
    </o:shapelayout>
  </w:shapeDefaults>
  <w:decimalSymbol w:val=","/>
  <w:listSeparator w:val=","/>
  <w14:docId w14:val="6E59441F"/>
  <w15:chartTrackingRefBased/>
  <w15:docId w15:val="{E2AB8C66-49EC-43D0-9E43-A6C5B455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2444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3B6115-9CDA-4FEB-B671-7D4F465969F1}">
  <ds:schemaRefs>
    <ds:schemaRef ds:uri="http://schemas.microsoft.com/sharepoint/v3/contenttype/forms"/>
  </ds:schemaRefs>
</ds:datastoreItem>
</file>

<file path=customXml/itemProps2.xml><?xml version="1.0" encoding="utf-8"?>
<ds:datastoreItem xmlns:ds="http://schemas.openxmlformats.org/officeDocument/2006/customXml" ds:itemID="{2448C08E-1623-42F9-A5FC-0C6B7DB4D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BC32AE6-99DA-44E6-A571-A508229C97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2831</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QUỐC HỘI</vt:lpstr>
    </vt:vector>
  </TitlesOfParts>
  <Company>HOME</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Nhân Nguyễn</cp:lastModifiedBy>
  <cp:revision>2</cp:revision>
  <dcterms:created xsi:type="dcterms:W3CDTF">2023-11-09T17:18:00Z</dcterms:created>
  <dcterms:modified xsi:type="dcterms:W3CDTF">2023-11-09T17:18:00Z</dcterms:modified>
</cp:coreProperties>
</file>