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0" w:type="dxa"/>
          <w:right w:w="0" w:type="dxa"/>
        </w:tblCellMar>
        <w:tblLook w:val="0000" w:firstRow="0" w:lastRow="0" w:firstColumn="0" w:lastColumn="0" w:noHBand="0" w:noVBand="0"/>
      </w:tblPr>
      <w:tblGrid>
        <w:gridCol w:w="3348"/>
        <w:gridCol w:w="5904"/>
      </w:tblGrid>
      <w:tr w:rsidR="00A774EF" w:rsidRPr="00B47DB5" w14:paraId="6F8294AE" w14:textId="77777777">
        <w:trPr>
          <w:divId w:val="1471097007"/>
          <w:jc w:val="center"/>
        </w:trPr>
        <w:tc>
          <w:tcPr>
            <w:tcW w:w="3348" w:type="dxa"/>
            <w:tcMar>
              <w:top w:w="0" w:type="dxa"/>
              <w:left w:w="108" w:type="dxa"/>
              <w:bottom w:w="0" w:type="dxa"/>
              <w:right w:w="108" w:type="dxa"/>
            </w:tcMar>
          </w:tcPr>
          <w:p w14:paraId="04B2EEBE" w14:textId="77777777" w:rsidR="00A774EF" w:rsidRPr="00B47DB5" w:rsidRDefault="00B47DB5">
            <w:pPr>
              <w:pStyle w:val="NormalWeb"/>
              <w:spacing w:after="120" w:afterAutospacing="0"/>
              <w:jc w:val="center"/>
              <w:rPr>
                <w:sz w:val="26"/>
                <w:szCs w:val="28"/>
              </w:rPr>
            </w:pPr>
            <w:r>
              <w:rPr>
                <w:b/>
                <w:bCs/>
                <w:noProof/>
                <w:sz w:val="26"/>
                <w:szCs w:val="28"/>
              </w:rPr>
              <w:pict w14:anchorId="157D0BC4">
                <v:line id="_x0000_s1029" style="position:absolute;left:0;text-align:left;z-index:2" from="55.55pt,18pt" to="100.55pt,18pt"/>
              </w:pict>
            </w:r>
            <w:r w:rsidR="00A774EF" w:rsidRPr="00B47DB5">
              <w:rPr>
                <w:b/>
                <w:bCs/>
                <w:sz w:val="26"/>
                <w:szCs w:val="28"/>
              </w:rPr>
              <w:t>QUỐC HỘI</w:t>
            </w:r>
            <w:r w:rsidR="00A774EF" w:rsidRPr="00B47DB5">
              <w:rPr>
                <w:b/>
                <w:bCs/>
                <w:sz w:val="26"/>
                <w:szCs w:val="28"/>
              </w:rPr>
              <w:br/>
            </w:r>
          </w:p>
        </w:tc>
        <w:tc>
          <w:tcPr>
            <w:tcW w:w="5904" w:type="dxa"/>
            <w:tcMar>
              <w:top w:w="0" w:type="dxa"/>
              <w:left w:w="108" w:type="dxa"/>
              <w:bottom w:w="0" w:type="dxa"/>
              <w:right w:w="108" w:type="dxa"/>
            </w:tcMar>
          </w:tcPr>
          <w:p w14:paraId="5F7D9323" w14:textId="77777777" w:rsidR="00A774EF" w:rsidRPr="00B47DB5" w:rsidRDefault="00B47DB5">
            <w:pPr>
              <w:pStyle w:val="NormalWeb"/>
              <w:spacing w:after="120" w:afterAutospacing="0"/>
              <w:jc w:val="center"/>
              <w:rPr>
                <w:sz w:val="26"/>
                <w:szCs w:val="28"/>
              </w:rPr>
            </w:pPr>
            <w:r>
              <w:rPr>
                <w:b/>
                <w:bCs/>
                <w:noProof/>
                <w:sz w:val="26"/>
                <w:szCs w:val="28"/>
              </w:rPr>
              <w:pict w14:anchorId="793916D9">
                <v:line id="_x0000_s1030" style="position:absolute;left:0;text-align:left;z-index:3;mso-position-horizontal-relative:text;mso-position-vertical-relative:text" from="57.65pt,31.5pt" to="228.65pt,31.5pt"/>
              </w:pict>
            </w:r>
            <w:r w:rsidR="00A774EF" w:rsidRPr="00B47DB5">
              <w:rPr>
                <w:b/>
                <w:bCs/>
                <w:sz w:val="26"/>
                <w:szCs w:val="28"/>
              </w:rPr>
              <w:t xml:space="preserve">CỘNG HÒA XÃ HỘI CHỦ NGHĨA VIỆT </w:t>
            </w:r>
            <w:smartTag w:uri="urn:schemas-microsoft-com:office:smarttags" w:element="country-region">
              <w:smartTag w:uri="urn:schemas-microsoft-com:office:smarttags" w:element="place">
                <w:r w:rsidR="00A774EF" w:rsidRPr="00B47DB5">
                  <w:rPr>
                    <w:b/>
                    <w:bCs/>
                    <w:sz w:val="26"/>
                    <w:szCs w:val="28"/>
                  </w:rPr>
                  <w:t>NAM</w:t>
                </w:r>
              </w:smartTag>
            </w:smartTag>
            <w:r w:rsidR="00A774EF" w:rsidRPr="00B47DB5">
              <w:rPr>
                <w:b/>
                <w:bCs/>
                <w:sz w:val="26"/>
                <w:szCs w:val="28"/>
              </w:rPr>
              <w:br/>
            </w:r>
            <w:r w:rsidR="00A774EF" w:rsidRPr="00B47DB5">
              <w:rPr>
                <w:b/>
                <w:bCs/>
                <w:sz w:val="28"/>
                <w:szCs w:val="28"/>
              </w:rPr>
              <w:t xml:space="preserve">Độc lập - Tự do - Hạnh phúc </w:t>
            </w:r>
            <w:r w:rsidR="00A774EF" w:rsidRPr="00B47DB5">
              <w:rPr>
                <w:b/>
                <w:bCs/>
                <w:sz w:val="26"/>
                <w:szCs w:val="28"/>
              </w:rPr>
              <w:br/>
            </w:r>
          </w:p>
        </w:tc>
      </w:tr>
      <w:tr w:rsidR="00A774EF" w:rsidRPr="00B47DB5" w14:paraId="637B02A0" w14:textId="77777777">
        <w:trPr>
          <w:divId w:val="1471097007"/>
          <w:jc w:val="center"/>
        </w:trPr>
        <w:tc>
          <w:tcPr>
            <w:tcW w:w="3348" w:type="dxa"/>
            <w:tcMar>
              <w:top w:w="0" w:type="dxa"/>
              <w:left w:w="108" w:type="dxa"/>
              <w:bottom w:w="0" w:type="dxa"/>
              <w:right w:w="108" w:type="dxa"/>
            </w:tcMar>
          </w:tcPr>
          <w:p w14:paraId="7F8ED7C9" w14:textId="77777777" w:rsidR="00A774EF" w:rsidRPr="00B47DB5" w:rsidRDefault="00A774EF">
            <w:pPr>
              <w:pStyle w:val="NormalWeb"/>
              <w:spacing w:after="120" w:afterAutospacing="0"/>
              <w:jc w:val="center"/>
              <w:rPr>
                <w:sz w:val="26"/>
                <w:szCs w:val="28"/>
              </w:rPr>
            </w:pPr>
            <w:r w:rsidRPr="00B47DB5">
              <w:rPr>
                <w:sz w:val="26"/>
                <w:szCs w:val="28"/>
              </w:rPr>
              <w:t>Luật số: 31/2013/QH13</w:t>
            </w:r>
          </w:p>
        </w:tc>
        <w:tc>
          <w:tcPr>
            <w:tcW w:w="5904" w:type="dxa"/>
            <w:tcMar>
              <w:top w:w="0" w:type="dxa"/>
              <w:left w:w="108" w:type="dxa"/>
              <w:bottom w:w="0" w:type="dxa"/>
              <w:right w:w="108" w:type="dxa"/>
            </w:tcMar>
          </w:tcPr>
          <w:p w14:paraId="25F92E89" w14:textId="77777777" w:rsidR="00A774EF" w:rsidRPr="00B47DB5" w:rsidRDefault="00A774EF">
            <w:pPr>
              <w:pStyle w:val="NormalWeb"/>
              <w:spacing w:after="120" w:afterAutospacing="0"/>
              <w:jc w:val="right"/>
              <w:rPr>
                <w:sz w:val="26"/>
                <w:szCs w:val="28"/>
              </w:rPr>
            </w:pPr>
            <w:r w:rsidRPr="00B47DB5">
              <w:rPr>
                <w:i/>
                <w:iCs/>
                <w:sz w:val="26"/>
                <w:szCs w:val="28"/>
              </w:rPr>
              <w:t>Hà Nội, ngày 19 tháng 6 năm 2013</w:t>
            </w:r>
          </w:p>
        </w:tc>
      </w:tr>
    </w:tbl>
    <w:p w14:paraId="0120B18F" w14:textId="77777777" w:rsidR="00A774EF" w:rsidRPr="00B47DB5" w:rsidRDefault="00A774EF" w:rsidP="00B47DB5">
      <w:pPr>
        <w:pStyle w:val="NormalWeb"/>
        <w:autoSpaceDE w:val="0"/>
        <w:autoSpaceDN w:val="0"/>
        <w:spacing w:before="0" w:beforeAutospacing="0" w:after="0" w:afterAutospacing="0"/>
        <w:jc w:val="center"/>
        <w:divId w:val="1471097007"/>
        <w:rPr>
          <w:sz w:val="28"/>
          <w:szCs w:val="28"/>
        </w:rPr>
      </w:pPr>
      <w:r w:rsidRPr="00B47DB5">
        <w:rPr>
          <w:b/>
          <w:bCs/>
          <w:sz w:val="28"/>
          <w:szCs w:val="28"/>
        </w:rPr>
        <w:t> </w:t>
      </w:r>
    </w:p>
    <w:p w14:paraId="5E4870F9" w14:textId="77777777" w:rsidR="00A774EF" w:rsidRPr="00B47DB5" w:rsidRDefault="00A774EF" w:rsidP="00B47DB5">
      <w:pPr>
        <w:pStyle w:val="NormalWeb"/>
        <w:autoSpaceDE w:val="0"/>
        <w:autoSpaceDN w:val="0"/>
        <w:spacing w:before="0" w:beforeAutospacing="0" w:after="0" w:afterAutospacing="0"/>
        <w:jc w:val="center"/>
        <w:divId w:val="1471097007"/>
        <w:rPr>
          <w:sz w:val="28"/>
          <w:szCs w:val="28"/>
        </w:rPr>
      </w:pPr>
      <w:r w:rsidRPr="00B47DB5">
        <w:rPr>
          <w:b/>
          <w:bCs/>
          <w:sz w:val="28"/>
          <w:szCs w:val="28"/>
        </w:rPr>
        <w:t>LUẬT</w:t>
      </w:r>
    </w:p>
    <w:p w14:paraId="1C22D8E0" w14:textId="77777777" w:rsidR="00B47DB5" w:rsidRPr="00B47DB5" w:rsidRDefault="00B47DB5" w:rsidP="00B47DB5">
      <w:pPr>
        <w:pStyle w:val="NormalWeb"/>
        <w:autoSpaceDE w:val="0"/>
        <w:autoSpaceDN w:val="0"/>
        <w:spacing w:before="0" w:beforeAutospacing="0" w:after="0" w:afterAutospacing="0"/>
        <w:jc w:val="center"/>
        <w:divId w:val="1471097007"/>
        <w:rPr>
          <w:b/>
          <w:iCs/>
          <w:sz w:val="28"/>
          <w:szCs w:val="28"/>
        </w:rPr>
      </w:pPr>
      <w:r w:rsidRPr="00B47DB5">
        <w:rPr>
          <w:b/>
          <w:iCs/>
          <w:sz w:val="28"/>
          <w:szCs w:val="28"/>
        </w:rPr>
        <w:t>Sửa đổi, bổ sung một số điều của Luật Thuế giá trị gia tăng số 13/2008/QH12</w:t>
      </w:r>
    </w:p>
    <w:p w14:paraId="7FE6D533" w14:textId="77777777" w:rsidR="00B47DB5" w:rsidRPr="00B47DB5" w:rsidRDefault="00B47DB5" w:rsidP="00B47DB5">
      <w:pPr>
        <w:pStyle w:val="NormalWeb"/>
        <w:autoSpaceDE w:val="0"/>
        <w:autoSpaceDN w:val="0"/>
        <w:spacing w:before="0" w:beforeAutospacing="0" w:after="0" w:afterAutospacing="0"/>
        <w:jc w:val="center"/>
        <w:divId w:val="1471097007"/>
        <w:rPr>
          <w:sz w:val="28"/>
          <w:szCs w:val="28"/>
        </w:rPr>
      </w:pPr>
      <w:r w:rsidRPr="00B47DB5">
        <w:rPr>
          <w:noProof/>
          <w:sz w:val="28"/>
          <w:szCs w:val="28"/>
        </w:rPr>
        <w:pict w14:anchorId="1E2E68F6">
          <v:line id="_x0000_s1028" style="position:absolute;left:0;text-align:left;z-index:1" from="126pt,4.75pt" to="342pt,4.75pt"/>
        </w:pict>
      </w:r>
    </w:p>
    <w:p w14:paraId="558DFED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iCs/>
          <w:sz w:val="28"/>
          <w:szCs w:val="28"/>
        </w:rPr>
        <w:t>Căn cứ Hiến pháp nước Cộng hoà xã hội chủ nghĩa Việt Nam năm 1992 đã được sửa đổi, bổ sung một số điều theo Nghị quyết số 51/2001/QH10;</w:t>
      </w:r>
    </w:p>
    <w:p w14:paraId="43763494"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iCs/>
          <w:sz w:val="28"/>
          <w:szCs w:val="28"/>
        </w:rPr>
        <w:t xml:space="preserve">Quốc hội ban hành Luật sửa đổi, bổ sung một số điều của </w:t>
      </w:r>
      <w:r w:rsidR="00B47DB5" w:rsidRPr="00B47DB5">
        <w:rPr>
          <w:iCs/>
          <w:sz w:val="28"/>
          <w:szCs w:val="28"/>
        </w:rPr>
        <w:t xml:space="preserve">Luật Thuế giá trị gia </w:t>
      </w:r>
      <w:r w:rsidRPr="00B47DB5">
        <w:rPr>
          <w:iCs/>
          <w:sz w:val="28"/>
          <w:szCs w:val="28"/>
        </w:rPr>
        <w:t>tăng số 13/2008/QH12.</w:t>
      </w:r>
    </w:p>
    <w:p w14:paraId="28CBEDA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b/>
          <w:bCs/>
          <w:sz w:val="28"/>
          <w:szCs w:val="28"/>
        </w:rPr>
        <w:t>Điều 1</w:t>
      </w:r>
    </w:p>
    <w:p w14:paraId="3268077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xml:space="preserve">Sửa đổi, bổ sung một số điều của </w:t>
      </w:r>
      <w:r w:rsidR="00B47DB5" w:rsidRPr="00B47DB5">
        <w:rPr>
          <w:sz w:val="28"/>
          <w:szCs w:val="28"/>
        </w:rPr>
        <w:t xml:space="preserve">Luật Thuế giá trị gia </w:t>
      </w:r>
      <w:r w:rsidRPr="00B47DB5">
        <w:rPr>
          <w:sz w:val="28"/>
          <w:szCs w:val="28"/>
        </w:rPr>
        <w:t>tăng:</w:t>
      </w:r>
    </w:p>
    <w:p w14:paraId="5BF4239F"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1. Các khoản 4, 7, 8, 11, 15, 17, 23 và 25 Điều 5 được sửa đổi, bổ sung như sau:</w:t>
      </w:r>
    </w:p>
    <w:p w14:paraId="4007631A"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“4. Sản phẩm muối được sản xuất từ nước biển, muối mỏ tự nhiên, muối tinh, muối i-ốt mà thành phần chính là Na-tri-clo-rua (NaCl).”</w:t>
      </w:r>
    </w:p>
    <w:p w14:paraId="7671BC33"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“7. 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thuỷ sản; tái bảo hiểm.</w:t>
      </w:r>
    </w:p>
    <w:p w14:paraId="044DF5FB"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8. Các dịch vụ tài chính, ngân hàng, kinh doanh chứng khoán sau đây:</w:t>
      </w:r>
    </w:p>
    <w:p w14:paraId="3DE23EA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Dịch vụ cấp tín dụng bao gồm: cho vay; chiết khấu, tái chiết khấu công cụ chuyển nhượng và các giấy tờ có giá khác; bảo lãnh; cho thuê tài chính; phát hành thẻ tín dụng; bao thanh toán trong nước; bao thanh toán quốc tế; hình thức cấp tín dụng khác theo quy định của pháp luật;</w:t>
      </w:r>
    </w:p>
    <w:p w14:paraId="2B8972EB"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Dịch vụ cho vay của người nộp thuế không phải là tổ chức tín dụng;</w:t>
      </w:r>
    </w:p>
    <w:p w14:paraId="530A5F5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c) Kinh doanh chứng khoán bao gồm: môi giới chứng khoán; tự doanh chứng khoán; bảo lãnh phát hành chứng khoán; tư vấn đầu tư chứng khoán; lưu ký chứng khoán; quản lý quỹ đầu tư chứng khoán; quản lý danh mục đầu tư chứng khoán; dịch vụ tổ chức thị trường của sở giao dịch chứng khoán hoặc trung tâm giao dịch chứng khoán; hoạt động kinh doanh chứng khoán khác theo quy định của pháp luật về chứng khoán;</w:t>
      </w:r>
    </w:p>
    <w:p w14:paraId="4FF8486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d) Chuyển nhượng vốn bao gồm: chuyển nhượng một phần hoặc toàn bộ số vốn đã đầu tư, kể cả trường hợp bán doanh nghiệp cho doanh nghiệp khác để sản xuất, kinh doanh, chuyển nhượng chứng khoán; hình thức chuyển nhượng vốn khác theo quy định của pháp luật;</w:t>
      </w:r>
    </w:p>
    <w:p w14:paraId="02FE48F3"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đ) Bán nợ;</w:t>
      </w:r>
    </w:p>
    <w:p w14:paraId="70414839"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lastRenderedPageBreak/>
        <w:t>e) Kinh doanh ngoại tệ;</w:t>
      </w:r>
    </w:p>
    <w:p w14:paraId="137CAA8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g) Dịch vụ tài chính phái sinh bao gồm: hoán đổi lãi suất; hợp đồng kỳ hạn; hợp đồng tương lai; quyền chọn mua, bán ngoại tệ; dịch vụ tài chính phái sinh khác theo quy định của pháp luật;</w:t>
      </w:r>
    </w:p>
    <w:p w14:paraId="30A68BC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xml:space="preserve">h) Bán tài sản bảo đảm của khoản nợ của tổ chức mà Nhà nước sở hữu 100% vốn điều lệ do Chính phủ thành lập để xử lý nợ xấu của các tổ chức tín dụng Việt </w:t>
      </w:r>
      <w:smartTag w:uri="urn:schemas-microsoft-com:office:smarttags" w:element="place">
        <w:smartTag w:uri="urn:schemas-microsoft-com:office:smarttags" w:element="country-region">
          <w:r w:rsidRPr="00B47DB5">
            <w:rPr>
              <w:sz w:val="28"/>
              <w:szCs w:val="28"/>
            </w:rPr>
            <w:t>Nam</w:t>
          </w:r>
        </w:smartTag>
      </w:smartTag>
      <w:r w:rsidRPr="00B47DB5">
        <w:rPr>
          <w:sz w:val="28"/>
          <w:szCs w:val="28"/>
        </w:rPr>
        <w:t xml:space="preserve">.” </w:t>
      </w:r>
    </w:p>
    <w:p w14:paraId="004E2F5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“11. Dịch vụ duy trì vườn thú, vườn hoa, công viên, cây xanh đường phố, chiếu sáng công cộng; dịch vụ tang lễ.”</w:t>
      </w:r>
    </w:p>
    <w:p w14:paraId="527BA7E0"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tiền, in tiền.”</w:t>
      </w:r>
    </w:p>
    <w:p w14:paraId="6CE412D7"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“17. Máy móc, thiết bị, phụ tùng,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thuỷ thuộc loại trong nước chưa sản xuất được cần nhập khẩu để tạo tài sản cố định của doanh nghiệp hoặc thuê của nước ngoài để sử dụng cho sản xuất, kinh doanh, cho thuê, cho thuê lại.”</w:t>
      </w:r>
    </w:p>
    <w:p w14:paraId="04B3C1D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“23. Sản phẩm xuất khẩu là tài nguyên, khoáng sản khai thác chưa chế biến thành sản phẩm khác.”</w:t>
      </w:r>
    </w:p>
    <w:p w14:paraId="7F20E33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“25. Hàng hóa, dịch vụ của hộ, cá nhân kinh doanh có mức doanh thu hàng năm từ một trăm triệu đồng trở xuống.</w:t>
      </w:r>
    </w:p>
    <w:p w14:paraId="2BB9D46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Cơ sở kinh doanh hàng hóa, dịch vụ không chịu thuế giá trị gia tăng quy định tại Điều này không được khấu trừ và hoàn thuế giá trị gia tăng đầu vào, trừ trường hợp áp dụng mức thuế suất 0% quy định tại khoản 1 Điều 8 của Luật này.”</w:t>
      </w:r>
    </w:p>
    <w:p w14:paraId="131747D2"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2. Các điểm a, b và d khoản 1 Điều 7 được sửa đổi, bổ sung như sau:</w:t>
      </w:r>
    </w:p>
    <w:p w14:paraId="7F2AFE2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14:paraId="2F662213"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xml:space="preserve">b) Đối với hàng hóa nhập khẩu là giá nhập tại cửa khẩu cộng với thuế nhập khẩu (nếu có), cộng với thuế tiêu thụ đặc biệt (nếu có) và cộng với thuế bảo vệ </w:t>
      </w:r>
      <w:r w:rsidRPr="00B47DB5">
        <w:rPr>
          <w:sz w:val="28"/>
          <w:szCs w:val="28"/>
        </w:rPr>
        <w:lastRenderedPageBreak/>
        <w:t>môi trường (nếu có). Giá nhập tại cửa khẩu được xác định theo quy định về giá tính thuế hàng nhập khẩu;”</w:t>
      </w:r>
    </w:p>
    <w:p w14:paraId="7C35F403"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“d) Đối với hoạt động cho thuê tài sản là số tiền cho thuê chưa có thuế giá trị gia tăng.</w:t>
      </w:r>
    </w:p>
    <w:p w14:paraId="3CDF1160"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Trường hợp cho thuê theo hình thức trả tiền thuê từng kỳ hoặc trả trước tiền thuê cho thời hạn thuê thì giá tính thuế là số tiền cho thuê trả từng kỳ hoặc trả trước cho thời hạn thuê chưa có thuế giá trị gia tăng;”</w:t>
      </w:r>
    </w:p>
    <w:p w14:paraId="54AA5422"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3. Sửa đổi, bổ sung khoản 1 Điều 8; bổ sung điểm q vào khoản 2 Điều 8 như sau:</w:t>
      </w:r>
    </w:p>
    <w:p w14:paraId="256A886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“1. Mức thuế suất 0% áp dụng đối với hàng hóa, dịch vụ xuất khẩu, vận tải quốc tế và hàng hóa, dịch vụ không chịu thuế giá trị gia tăng quy định tại Điều 5 của Luật này khi xuất khẩu, trừ các trường hợp sau đây:</w:t>
      </w:r>
    </w:p>
    <w:p w14:paraId="02FF880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Chuyển giao công nghệ, chuyển nhượng quyền sở hữu trí tuệ ra nước ngoài;</w:t>
      </w:r>
    </w:p>
    <w:p w14:paraId="201309C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Dịch vụ tái bảo hiểm ra nước ngoài;</w:t>
      </w:r>
    </w:p>
    <w:p w14:paraId="156AF3D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c) Dịch vụ cấp tín dụng;</w:t>
      </w:r>
    </w:p>
    <w:p w14:paraId="4319095F"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d) Chuyển nhượng vốn;</w:t>
      </w:r>
    </w:p>
    <w:p w14:paraId="328956E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đ) Dịch vụ tài chính phái sinh;</w:t>
      </w:r>
    </w:p>
    <w:p w14:paraId="59D8C4FF"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e) Dịch vụ bưu chính, viễn thông;</w:t>
      </w:r>
    </w:p>
    <w:p w14:paraId="6C0A50F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g) Sản phẩm xuất khẩu là tài nguyên, khoáng sản khai thác chưa chế biến thành sản phẩm khác quy định tại khoản 23 Điều 5 của Luật này.</w:t>
      </w:r>
    </w:p>
    <w:p w14:paraId="62D1D865"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xml:space="preserve">Hàng hoá, dịch vụ xuất khẩu là hàng hoá, dịch vụ được tiêu dùng ở ngoài Việt </w:t>
      </w:r>
      <w:smartTag w:uri="urn:schemas-microsoft-com:office:smarttags" w:element="place">
        <w:smartTag w:uri="urn:schemas-microsoft-com:office:smarttags" w:element="country-region">
          <w:r w:rsidRPr="00B47DB5">
            <w:rPr>
              <w:sz w:val="28"/>
              <w:szCs w:val="28"/>
            </w:rPr>
            <w:t>Nam</w:t>
          </w:r>
        </w:smartTag>
      </w:smartTag>
      <w:r w:rsidRPr="00B47DB5">
        <w:rPr>
          <w:sz w:val="28"/>
          <w:szCs w:val="28"/>
        </w:rPr>
        <w:t>, trong khu phi thuế quan; hàng hóa, dịch vụ cung cấp cho khách hàng nước ngoài theo quy định của Chính phủ.”</w:t>
      </w:r>
    </w:p>
    <w:p w14:paraId="2767767B"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“2. Mức thuế suất 5% áp dụng đối với hàng hoá, dịch vụ sau đây:</w:t>
      </w:r>
    </w:p>
    <w:p w14:paraId="473913B7"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q) Bán, cho thuê, cho thuê mua nhà ở</w:t>
      </w:r>
      <w:r>
        <w:rPr>
          <w:sz w:val="28"/>
          <w:szCs w:val="28"/>
        </w:rPr>
        <w:t xml:space="preserve"> xã hội theo quy định của Luật N</w:t>
      </w:r>
      <w:r w:rsidRPr="00B47DB5">
        <w:rPr>
          <w:sz w:val="28"/>
          <w:szCs w:val="28"/>
        </w:rPr>
        <w:t>hà ở.”</w:t>
      </w:r>
    </w:p>
    <w:p w14:paraId="73B634CF"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4. Điều 10 được sửa đổi, bổ sung như sau:</w:t>
      </w:r>
    </w:p>
    <w:p w14:paraId="3014E78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w:t>
      </w:r>
      <w:r w:rsidRPr="00B47DB5">
        <w:rPr>
          <w:b/>
          <w:bCs/>
          <w:sz w:val="28"/>
          <w:szCs w:val="28"/>
        </w:rPr>
        <w:t>Điều 10. Phương pháp khấu trừ thuế</w:t>
      </w:r>
    </w:p>
    <w:p w14:paraId="2D030979"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1. Phương pháp khấu trừ thuế giá trị gia tăng được quy định như sau:</w:t>
      </w:r>
    </w:p>
    <w:p w14:paraId="688F423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Số thuế giá trị gia tăng phải nộp theo phương pháp khấu trừ thuế bằng số thuế giá trị gia tăng đầu ra trừ số thuế giá trị gia tăng đầu vào được khấu trừ;</w:t>
      </w:r>
    </w:p>
    <w:p w14:paraId="5AEC4153"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Số thuế giá trị gia tăng đầu ra bằng tổng số thuế giá trị gia tăng của hàng hoá, dịch vụ bán ra ghi trên hoá đơn giá trị gia tăng.</w:t>
      </w:r>
    </w:p>
    <w:p w14:paraId="3492E4F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Thuế giá trị gia tăng của hàng hóa, dịch vụ bán ra ghi trên hoá đơn giá trị gia tăng bằng giá tính thuế của hàng hoá, dịch vụ chịu thuế bán ra nhân với thuế suất thuế giá trị gia tăng của hàng hoá, dịch vụ đó.</w:t>
      </w:r>
    </w:p>
    <w:p w14:paraId="0266D37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lastRenderedPageBreak/>
        <w:t>Trường hợp sử dụng chứng từ ghi giá thanh toán là giá đã có thuế giá trị gia tăng thì thuế giá trị gia tăng đầu ra được xác định bằng giá thanh toán trừ giá tính thuế giá trị gia tăng xác định theo quy định tại điểm k khoản 1 Điều 7 của Luật này;</w:t>
      </w:r>
    </w:p>
    <w:p w14:paraId="3DCA4542"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Điều 12 của Luật này.</w:t>
      </w:r>
    </w:p>
    <w:p w14:paraId="13CFB917"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2. Phương pháp khấu trừ thuế áp dụng đối với cơ sở kinh doanh thực hiện đầy đủ chế độ kế toán, hoá đơn, chứng từ theo quy định của pháp luật về kế toán, hoá đơn, chứng từ bao gồm:</w:t>
      </w:r>
    </w:p>
    <w:p w14:paraId="22FC761B"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Cơ sở kinh doanh có doanh thu hàng năm từ bán hàng hoá, cung ứng dịch vụ từ một tỷ đồng trở lên, trừ hộ, cá nhân kinh doanh;</w:t>
      </w:r>
    </w:p>
    <w:p w14:paraId="4A4BBFFA"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Cơ sở kinh doanh đăng ký tự nguyện áp dụng phương pháp khấu trừ thuế, trừ hộ, cá nhân kinh doanh.</w:t>
      </w:r>
    </w:p>
    <w:p w14:paraId="5710AF50"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3. Chính phủ quy định chi tiết Điều này.”</w:t>
      </w:r>
    </w:p>
    <w:p w14:paraId="3622739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5. Điều 11 được sửa đổi, bổ sung như sau:</w:t>
      </w:r>
    </w:p>
    <w:p w14:paraId="62B863E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w:t>
      </w:r>
      <w:r w:rsidRPr="00B47DB5">
        <w:rPr>
          <w:b/>
          <w:bCs/>
          <w:sz w:val="28"/>
          <w:szCs w:val="28"/>
        </w:rPr>
        <w:t>Điều 11. Phương pháp tính trực tiếp trên giá trị gia tăng</w:t>
      </w:r>
    </w:p>
    <w:p w14:paraId="56DD9A24"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1. Số thuế giá trị gia tăng phải nộp theo phương pháp tính trực tiếp trên giá trị gia tăng bằng giá trị gia tăng nhân với thuế suất thuế giá trị gia tăng áp dụng đối với hoạt động mua bán, chế tác vàng, bạc, đá quý.</w:t>
      </w:r>
    </w:p>
    <w:p w14:paraId="0E6F2F4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Giá trị gia tăng của vàng, bạc, đá quý được xác định bằng giá thanh toán của vàng, bạc, đá quý bán ra trừ giá thanh toán của vàng, bạc, đá quý mua vào tương ứng.</w:t>
      </w:r>
    </w:p>
    <w:p w14:paraId="5A753BE3"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2. Số thuế giá trị gia tăng phải nộp theo phương pháp tính trực tiếp trên giá trị gia tăng bằng tỷ lệ % nhân với doanh thu áp dụng như sau:</w:t>
      </w:r>
    </w:p>
    <w:p w14:paraId="5E875ACA"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Đối tượng áp dụng:</w:t>
      </w:r>
    </w:p>
    <w:p w14:paraId="09B2E3BC"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Doanh nghiệp, hợp tác xã có doanh thu hàng năm dưới mức ngưỡng doanh thu một tỷ đồng, trừ trường hợp đăng ký tự nguyện áp dụng phương pháp khấu trừ thuế quy định tại khoản 2 Điều 10 của Luật này;</w:t>
      </w:r>
    </w:p>
    <w:p w14:paraId="2ED74970"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Hộ, cá nhân kinh doanh;</w:t>
      </w:r>
    </w:p>
    <w:p w14:paraId="142912A0"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Tổ chức, cá nhân nước ngoài kinh doanh không có cơ sở thường trú tại Việt Nam nhưng có doanh thu phát sinh tại Việt Nam chưa thực hiện đầy đủ chế độ kế toán, hoá đơn, chứng từ, trừ tổ chức, cá nhân nước ngoài cung cấp hàng hóa, dịch vụ để tiến hành hoạt động tìm kiếm, thăm dò, phát triển và khai thác dầu, khí nộp thuế theo phương pháp khấu trừ do bên Việt Nam khấu trừ nộp thay;</w:t>
      </w:r>
    </w:p>
    <w:p w14:paraId="06BC3BC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Tổ chức kinh tế khác, trừ trường hợp đăng ký nộp thuế theo phương pháp khấu trừ thuế quy định tại khoản 2 Điều 10 của Luật này;</w:t>
      </w:r>
    </w:p>
    <w:p w14:paraId="7E4ED95F"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Tỷ lệ % để tính thuế giá trị gia tăng được quy định như sau:</w:t>
      </w:r>
    </w:p>
    <w:p w14:paraId="31F610AB"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lastRenderedPageBreak/>
        <w:t>- Phân phối, cung cấp hàng hoá: 1%;</w:t>
      </w:r>
    </w:p>
    <w:p w14:paraId="47EA2D0A"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Dịch vụ, xây dựng không bao thầu nguyên vật liệu: 5%;</w:t>
      </w:r>
    </w:p>
    <w:p w14:paraId="7DCEA5F5"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Sản xuất, vận tải, dịch vụ có gắn với hàng hoá, xây dựng có bao thầu nguyên vật liệu: 3%;</w:t>
      </w:r>
    </w:p>
    <w:p w14:paraId="7BC19339"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Hoạt động kinh doanh khác: 2%.”</w:t>
      </w:r>
    </w:p>
    <w:p w14:paraId="4C39EF3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6. Điều 12 được sửa đổi, bổ sung như sau:</w:t>
      </w:r>
    </w:p>
    <w:p w14:paraId="659ACE0C"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w:t>
      </w:r>
      <w:r w:rsidRPr="00B47DB5">
        <w:rPr>
          <w:b/>
          <w:bCs/>
          <w:sz w:val="28"/>
          <w:szCs w:val="28"/>
        </w:rPr>
        <w:t>Điều 12. Khấu trừ thuế giá trị gia tăng đầu vào</w:t>
      </w:r>
    </w:p>
    <w:p w14:paraId="7EDF7D9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1. Cơ sở kinh doanh nộp thuế giá trị gia tăng theo phương pháp khấu trừ thuế được khấu trừ thuế giá trị gia tăng đầu vào như sau:</w:t>
      </w:r>
    </w:p>
    <w:p w14:paraId="5EE31FB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hoá, dịch vụ chịu thuế giá trị gia tăng bị tổn thất;</w:t>
      </w:r>
    </w:p>
    <w:p w14:paraId="4A4593EA"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Thuế giá trị gia tăng đầu vào của hàng hoá, dịch vụ sử dụng đồng thời cho sản xuất, kinh doanh hàng hóa, dịch vụ chịu thuế và không chịu thuế thì chỉ được khấu trừ số thuế giá trị gia tăng đầu vào của hàng hoá,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thu của hàng hóa, dịch vụ chịu thuế giá trị gia tăng so với tổng doanh thu hàng hoá, dịch vụ bán ra;</w:t>
      </w:r>
    </w:p>
    <w:p w14:paraId="6A48545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c) Thuế giá trị gia tăng đầu vào của hàng hoá, dịch vụ bán cho tổ chức, cá nhân sử dụng nguồn vốn viện trợ nhân đạo, viện trợ không hoàn lại được khấu trừ toàn bộ;</w:t>
      </w:r>
    </w:p>
    <w:p w14:paraId="73D79F3C"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d) Thuế giá trị gia tăng đầu vào của hàng hoá, dịch vụ sử dụng cho hoạt động tìm kiếm, thăm dò, phát triển mỏ dầu, khí được khấu trừ toàn bộ;</w:t>
      </w:r>
    </w:p>
    <w:p w14:paraId="3204ABA5"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đ)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p>
    <w:p w14:paraId="7839B3AD"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2. Điều kiện khấu trừ thuế giá trị gia tăng đầu vào được quy định như sau:</w:t>
      </w:r>
    </w:p>
    <w:p w14:paraId="58AEF2C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Có hoá đơn giá trị gia tăng mua hàng hoá, dịch vụ hoặc chứng từ nộp thuế giá trị gia tăng ở khâu nhập khẩu;</w:t>
      </w:r>
    </w:p>
    <w:p w14:paraId="4AA48AB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Có chứng từ thanh toán không dùng tiền mặt đối với hàng hóa, dịch vụ mua vào, trừ hàng hoá, dịch vụ mua từng lần có giá trị dưới hai mươi triệu đồng;</w:t>
      </w:r>
    </w:p>
    <w:p w14:paraId="256B7BAF"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xml:space="preserve">c) Đối với hàng hoá, dịch vụ xuất khẩu, ngoài các điều kiện quy định tại điểm a và điểm b khoản này còn phải có: hợp đồng ký kết với bên nước ngoài về việc bán, gia công hàng hoá, cung ứng dịch vụ; hoá đơn bán hàng hoá, dịch vụ; </w:t>
      </w:r>
      <w:r w:rsidRPr="00B47DB5">
        <w:rPr>
          <w:sz w:val="28"/>
          <w:szCs w:val="28"/>
        </w:rPr>
        <w:lastRenderedPageBreak/>
        <w:t>chứng từ thanh toán không dùng tiền mặt; tờ khai hải quan đối với hàng hoá xuất khẩu.</w:t>
      </w:r>
    </w:p>
    <w:p w14:paraId="2774A83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Việc thanh toán tiền hàng hoá, dịch vụ xuất khẩu dưới hình thức thanh toán bù trừ giữa hàng hóa, dịch vụ xuất khẩu với hàng hóa, dịch vụ nhập khẩu, trả nợ thay Nhà nước được coi là thanh toán không dùng tiền mặt.”</w:t>
      </w:r>
    </w:p>
    <w:p w14:paraId="41651B72"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7. Điều 13 được sửa đổi, bổ sung như sau:</w:t>
      </w:r>
    </w:p>
    <w:p w14:paraId="5EDAAE5E"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 “</w:t>
      </w:r>
      <w:r w:rsidRPr="00B47DB5">
        <w:rPr>
          <w:b/>
          <w:bCs/>
          <w:sz w:val="28"/>
          <w:szCs w:val="28"/>
        </w:rPr>
        <w:t>Điều 13. Các trường hợp hoàn thuế</w:t>
      </w:r>
    </w:p>
    <w:p w14:paraId="066030B5"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1. Cơ sở kinh doanh nộp thuế giá trị gia tăng theo phương pháp khấu trừ thuế nếu có số thuế giá trị gia tăng đầu vào chưa được khấu trừ hết trong tháng hoặc trong quý thì được khấu trừ vào kỳ tiếp theo; trường hợp lũy kế sau ít nhất mười hai tháng tính từ tháng đầu tiên hoặc ít nhất sau bốn quý tính từ quý đầu tiên phát sinh số thuế giá trị gia tăng chưa được khấu trừ mà vẫn còn số thuế giá trị gia tăng đầu vào chưa được khấu trừ thì cơ sở kinh doanh được hoàn thuế.</w:t>
      </w:r>
    </w:p>
    <w:p w14:paraId="33393A17"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Trường hợp cơ sở kinh doanh đã đăng ký nộp thuế giá trị gia tăng theo phương pháp khấu trừ có dự án đầu tư mới, đang trong giai đoạn đầu tư có số thuế giá trị gia tăng của hàng hoá, dịch vụ mua vào sử dụng cho đầu tư mà chưa được khấu trừ và có số thuế còn lại từ ba trăm triệu đồng trở lên thì được hoàn thuế giá trị gia tăng.</w:t>
      </w:r>
    </w:p>
    <w:p w14:paraId="35764FE2"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2. Cơ sở kinh doanh trong tháng, quý có hàng hoá, dịch vụ xuất khẩu nếu có số thuế giá trị gia tăng đầu vào chưa được khấu trừ từ ba trăm triệu đồng trở lên thì được hoàn thuế giá trị gia tăng theo tháng, quý.</w:t>
      </w:r>
    </w:p>
    <w:p w14:paraId="16E36E8A"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14:paraId="2E146B04"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4. Người nước ngoài, người Việt Nam định cư ở nước ngoài mang hộ chiếu hoặc giấy tờ nhập cảnh do cơ quan có thẩm quyền nước ngoài cấp được hoàn thuế đối với hàng hoá mua tại Việt Nam mang theo người khi xuất cảnh.</w:t>
      </w:r>
    </w:p>
    <w:p w14:paraId="605A4BD9"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5.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14:paraId="031CA40B"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a) Chủ chương trình, dự án hoặc nhà thầu chính, tổ chức do phía nhà tài trợ nước ngoài chỉ định việc quản lý chương trình, dự án sử dụng nguồn vốn hỗ trợ phát triển chính thức (ODA) không hoàn lại được hoàn số thuế giá trị gia tăng đã trả cho hàng hoá, dịch vụ mua tại Việt Nam để phục vụ cho chương trình, dự án;</w:t>
      </w:r>
    </w:p>
    <w:p w14:paraId="7CCDF629"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b) Tổ chức ở Việt Nam sử dụng tiền viện trợ không hoàn lại, tiền viện trợ nhân đạo của tổ chức, cá nhân nước ngoài để mua hàng hoá, dịch vụ phục vụ cho chương trình, dự án viện trợ không hoàn lại, viện trợ nhân đạo tại Việt Nam thì được hoàn số thuế giá trị gia tăng đã trả cho hàng hóa, dịch vụ đó.</w:t>
      </w:r>
    </w:p>
    <w:p w14:paraId="04697DA2"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lastRenderedPageBreak/>
        <w:t>6.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hoá đơn giá trị gia tăng hoặc trên chứng từ thanh toán ghi giá thanh toán đã có thuế giá trị gia tăng.</w:t>
      </w:r>
    </w:p>
    <w:p w14:paraId="5E056845"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7.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14:paraId="107E16A8"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b/>
          <w:bCs/>
          <w:sz w:val="28"/>
          <w:szCs w:val="28"/>
        </w:rPr>
        <w:t>Điều 2</w:t>
      </w:r>
    </w:p>
    <w:p w14:paraId="5037DA9C"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1. Luật này có hiệu lực thi hành từ ngày 01 tháng 01 năm 2014, trừ quy định tại khoản 2 và khoản 3 Điều này.</w:t>
      </w:r>
    </w:p>
    <w:p w14:paraId="09CA79A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2. Quy định thuế suất 5% đối với bán, cho thuê, cho thuê mua nhà ở xã hội tại khoản 3 Điều 1 của Luật này được thực hiện từ ngày 01 tháng 7 năm 2013.</w:t>
      </w:r>
    </w:p>
    <w:p w14:paraId="37A8B8A1"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3. Giảm 50% mức thuế suất 10% thuế giá trị gia tăng từ ngày 01 tháng 7 năm 2013 đến hết ngày 30 tháng 6 năm 2014 đối với bán, cho thuê, cho thuê mua nhà ở thương mại là căn hộ hoàn thiện có diện tích sàn dưới 70 m</w:t>
      </w:r>
      <w:r w:rsidRPr="00B47DB5">
        <w:rPr>
          <w:sz w:val="28"/>
          <w:szCs w:val="28"/>
          <w:vertAlign w:val="superscript"/>
        </w:rPr>
        <w:t xml:space="preserve">2 </w:t>
      </w:r>
      <w:r w:rsidRPr="00B47DB5">
        <w:rPr>
          <w:sz w:val="28"/>
          <w:szCs w:val="28"/>
        </w:rPr>
        <w:t>và có giá bán dưới 15 triệu đồng/m</w:t>
      </w:r>
      <w:r w:rsidRPr="00B47DB5">
        <w:rPr>
          <w:sz w:val="28"/>
          <w:szCs w:val="28"/>
          <w:vertAlign w:val="superscript"/>
        </w:rPr>
        <w:t>2</w:t>
      </w:r>
      <w:r w:rsidRPr="00B47DB5">
        <w:rPr>
          <w:sz w:val="28"/>
          <w:szCs w:val="28"/>
        </w:rPr>
        <w:t>.</w:t>
      </w:r>
    </w:p>
    <w:p w14:paraId="5EBFD998" w14:textId="77777777" w:rsidR="00A774EF"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sz w:val="28"/>
          <w:szCs w:val="28"/>
        </w:rPr>
        <w:t>4. Chính phủ quy định chi tiết, hướng dẫn thi hành các điều, khoản được giao trong Luật.</w:t>
      </w:r>
    </w:p>
    <w:p w14:paraId="010B85A6"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Pr>
          <w:sz w:val="28"/>
          <w:szCs w:val="28"/>
        </w:rPr>
        <w:t>_____________________________________________________________</w:t>
      </w:r>
    </w:p>
    <w:p w14:paraId="3212D439" w14:textId="77777777" w:rsidR="00A774EF" w:rsidRPr="00B47DB5" w:rsidRDefault="00A774EF" w:rsidP="00B47DB5">
      <w:pPr>
        <w:pStyle w:val="NormalWeb"/>
        <w:autoSpaceDE w:val="0"/>
        <w:autoSpaceDN w:val="0"/>
        <w:spacing w:before="120" w:beforeAutospacing="0" w:after="120" w:afterAutospacing="0" w:line="320" w:lineRule="exact"/>
        <w:ind w:firstLine="562"/>
        <w:jc w:val="both"/>
        <w:divId w:val="1471097007"/>
        <w:rPr>
          <w:sz w:val="28"/>
          <w:szCs w:val="28"/>
        </w:rPr>
      </w:pPr>
      <w:r w:rsidRPr="00B47DB5">
        <w:rPr>
          <w:i/>
          <w:iCs/>
          <w:sz w:val="28"/>
          <w:szCs w:val="28"/>
        </w:rPr>
        <w:t>Luật này đã được Quốc hội nước Cộng hòa xã hội chủ nghĩa Việt Nam khoá XIII, kỳ họp thứ 5 thông qua ngày 19 tháng 6 năm 2013.</w:t>
      </w:r>
      <w:r>
        <w:rPr>
          <w:i/>
          <w:iCs/>
          <w:sz w:val="28"/>
          <w:szCs w:val="28"/>
        </w:rPr>
        <w:t>/.</w:t>
      </w:r>
    </w:p>
    <w:p w14:paraId="17645AEA" w14:textId="77777777" w:rsidR="00A774EF" w:rsidRPr="00B47DB5" w:rsidRDefault="00A774EF">
      <w:pPr>
        <w:pStyle w:val="NormalWeb"/>
        <w:autoSpaceDE w:val="0"/>
        <w:autoSpaceDN w:val="0"/>
        <w:spacing w:before="0" w:beforeAutospacing="0" w:after="120" w:afterAutospacing="0"/>
        <w:ind w:right="-20"/>
        <w:divId w:val="1471097007"/>
        <w:rPr>
          <w:sz w:val="28"/>
          <w:szCs w:val="28"/>
        </w:rPr>
      </w:pPr>
      <w:r w:rsidRPr="00B47DB5">
        <w:rPr>
          <w:i/>
          <w:iCs/>
          <w:sz w:val="28"/>
          <w:szCs w:val="28"/>
        </w:rPr>
        <w:t> </w:t>
      </w:r>
    </w:p>
    <w:tbl>
      <w:tblPr>
        <w:tblW w:w="0" w:type="auto"/>
        <w:jc w:val="center"/>
        <w:tblCellMar>
          <w:left w:w="0" w:type="dxa"/>
          <w:right w:w="0" w:type="dxa"/>
        </w:tblCellMar>
        <w:tblLook w:val="0000" w:firstRow="0" w:lastRow="0" w:firstColumn="0" w:lastColumn="0" w:noHBand="0" w:noVBand="0"/>
      </w:tblPr>
      <w:tblGrid>
        <w:gridCol w:w="4308"/>
        <w:gridCol w:w="4548"/>
      </w:tblGrid>
      <w:tr w:rsidR="00A774EF" w:rsidRPr="00B47DB5" w14:paraId="3F2C1FA6" w14:textId="77777777">
        <w:trPr>
          <w:divId w:val="1471097007"/>
          <w:jc w:val="center"/>
        </w:trPr>
        <w:tc>
          <w:tcPr>
            <w:tcW w:w="4308" w:type="dxa"/>
            <w:tcMar>
              <w:top w:w="0" w:type="dxa"/>
              <w:left w:w="108" w:type="dxa"/>
              <w:bottom w:w="0" w:type="dxa"/>
              <w:right w:w="108" w:type="dxa"/>
            </w:tcMar>
          </w:tcPr>
          <w:p w14:paraId="00007793" w14:textId="77777777" w:rsidR="00A774EF" w:rsidRPr="00B47DB5" w:rsidRDefault="00A774EF">
            <w:pPr>
              <w:pStyle w:val="NormalWeb"/>
              <w:spacing w:after="120" w:afterAutospacing="0"/>
              <w:rPr>
                <w:sz w:val="26"/>
                <w:szCs w:val="28"/>
              </w:rPr>
            </w:pPr>
            <w:r w:rsidRPr="00B47DB5">
              <w:rPr>
                <w:b/>
                <w:bCs/>
                <w:sz w:val="26"/>
                <w:szCs w:val="28"/>
              </w:rPr>
              <w:t> </w:t>
            </w:r>
          </w:p>
        </w:tc>
        <w:tc>
          <w:tcPr>
            <w:tcW w:w="4548" w:type="dxa"/>
            <w:tcMar>
              <w:top w:w="0" w:type="dxa"/>
              <w:left w:w="108" w:type="dxa"/>
              <w:bottom w:w="0" w:type="dxa"/>
              <w:right w:w="108" w:type="dxa"/>
            </w:tcMar>
          </w:tcPr>
          <w:p w14:paraId="2CF7F2D8" w14:textId="77777777" w:rsidR="00A774EF" w:rsidRPr="00B47DB5" w:rsidRDefault="00A774EF">
            <w:pPr>
              <w:pStyle w:val="NormalWeb"/>
              <w:spacing w:after="120" w:afterAutospacing="0"/>
              <w:jc w:val="center"/>
              <w:rPr>
                <w:sz w:val="26"/>
                <w:szCs w:val="28"/>
              </w:rPr>
            </w:pPr>
            <w:r w:rsidRPr="00B47DB5">
              <w:rPr>
                <w:b/>
                <w:bCs/>
                <w:sz w:val="26"/>
                <w:szCs w:val="28"/>
              </w:rPr>
              <w:t>CHỦ TỊCH QUỐC HỘI</w:t>
            </w:r>
            <w:r w:rsidRPr="00B47DB5">
              <w:rPr>
                <w:b/>
                <w:bCs/>
                <w:sz w:val="26"/>
                <w:szCs w:val="28"/>
              </w:rPr>
              <w:br/>
            </w:r>
            <w:r w:rsidRPr="00B47DB5">
              <w:rPr>
                <w:b/>
                <w:bCs/>
                <w:sz w:val="26"/>
                <w:szCs w:val="28"/>
              </w:rPr>
              <w:br/>
            </w:r>
            <w:r w:rsidR="00B47DB5" w:rsidRPr="00B47DB5">
              <w:rPr>
                <w:b/>
                <w:bCs/>
                <w:i/>
                <w:szCs w:val="28"/>
              </w:rPr>
              <w:t>(Đã ký)</w:t>
            </w:r>
            <w:r w:rsidRPr="00B47DB5">
              <w:rPr>
                <w:b/>
                <w:bCs/>
                <w:sz w:val="26"/>
                <w:szCs w:val="28"/>
              </w:rPr>
              <w:br/>
            </w:r>
            <w:r w:rsidRPr="00B47DB5">
              <w:rPr>
                <w:b/>
                <w:bCs/>
                <w:sz w:val="26"/>
                <w:szCs w:val="28"/>
              </w:rPr>
              <w:br/>
            </w:r>
            <w:r w:rsidRPr="00B47DB5">
              <w:rPr>
                <w:sz w:val="26"/>
                <w:szCs w:val="28"/>
              </w:rPr>
              <w:br/>
            </w:r>
            <w:r w:rsidRPr="00B47DB5">
              <w:rPr>
                <w:b/>
                <w:bCs/>
                <w:sz w:val="26"/>
                <w:szCs w:val="28"/>
              </w:rPr>
              <w:t>Nguyễn Sinh Hùng</w:t>
            </w:r>
          </w:p>
        </w:tc>
      </w:tr>
    </w:tbl>
    <w:p w14:paraId="1AC704C0" w14:textId="77777777" w:rsidR="00A774EF" w:rsidRPr="00B47DB5" w:rsidRDefault="00A774EF">
      <w:pPr>
        <w:pStyle w:val="NormalWeb"/>
        <w:autoSpaceDE w:val="0"/>
        <w:autoSpaceDN w:val="0"/>
        <w:spacing w:before="0" w:beforeAutospacing="0" w:after="120" w:afterAutospacing="0"/>
        <w:ind w:right="-20"/>
        <w:divId w:val="1471097007"/>
        <w:rPr>
          <w:sz w:val="28"/>
          <w:szCs w:val="28"/>
        </w:rPr>
      </w:pPr>
      <w:r w:rsidRPr="00B47DB5">
        <w:rPr>
          <w:sz w:val="28"/>
          <w:szCs w:val="28"/>
        </w:rPr>
        <w:t> </w:t>
      </w:r>
    </w:p>
    <w:p w14:paraId="600E0906" w14:textId="77777777" w:rsidR="00A774EF" w:rsidRPr="00B47DB5" w:rsidRDefault="00A774EF">
      <w:pPr>
        <w:pStyle w:val="NormalWeb"/>
        <w:divId w:val="1471097007"/>
        <w:rPr>
          <w:sz w:val="28"/>
          <w:szCs w:val="28"/>
        </w:rPr>
      </w:pPr>
      <w:r w:rsidRPr="00B47DB5">
        <w:rPr>
          <w:b/>
          <w:bCs/>
          <w:sz w:val="28"/>
          <w:szCs w:val="28"/>
        </w:rPr>
        <w:t> </w:t>
      </w:r>
    </w:p>
    <w:sectPr w:rsidR="00A774EF" w:rsidRPr="00B47DB5" w:rsidSect="00B47DB5">
      <w:pgSz w:w="11907" w:h="16840"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7DB5"/>
    <w:rsid w:val="00011F10"/>
    <w:rsid w:val="008D4249"/>
    <w:rsid w:val="009F6641"/>
    <w:rsid w:val="00A774EF"/>
    <w:rsid w:val="00B4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31"/>
    <o:shapelayout v:ext="edit">
      <o:idmap v:ext="edit" data="1"/>
    </o:shapelayout>
  </w:shapeDefaults>
  <w:decimalSymbol w:val=","/>
  <w:listSeparator w:val=","/>
  <w14:docId w14:val="681901DC"/>
  <w15:chartTrackingRefBased/>
  <w15:docId w15:val="{68E957AE-3F4D-4DC0-88E3-0E7C4ED0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180906">
      <w:marLeft w:val="0"/>
      <w:marRight w:val="0"/>
      <w:marTop w:val="0"/>
      <w:marBottom w:val="0"/>
      <w:divBdr>
        <w:top w:val="none" w:sz="0" w:space="0" w:color="auto"/>
        <w:left w:val="none" w:sz="0" w:space="0" w:color="auto"/>
        <w:bottom w:val="none" w:sz="0" w:space="0" w:color="auto"/>
        <w:right w:val="none" w:sz="0" w:space="0" w:color="auto"/>
      </w:divBdr>
      <w:divsChild>
        <w:div w:id="14710970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00892-EC43-4342-8E97-833BC478E9F6}">
  <ds:schemaRefs>
    <ds:schemaRef ds:uri="http://schemas.microsoft.com/sharepoint/v3/contenttype/forms"/>
  </ds:schemaRefs>
</ds:datastoreItem>
</file>

<file path=customXml/itemProps2.xml><?xml version="1.0" encoding="utf-8"?>
<ds:datastoreItem xmlns:ds="http://schemas.openxmlformats.org/officeDocument/2006/customXml" ds:itemID="{509846C2-DB9E-4F83-AFC0-E32A89227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6E8D92-B513-4B15-8BE9-DA19FE261D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Thanh An</dc:creator>
  <cp:keywords/>
  <dc:description/>
  <cp:lastModifiedBy>Nhân Nguyễn</cp:lastModifiedBy>
  <cp:revision>2</cp:revision>
  <dcterms:created xsi:type="dcterms:W3CDTF">2023-11-09T17:19:00Z</dcterms:created>
  <dcterms:modified xsi:type="dcterms:W3CDTF">2023-11-09T17:19:00Z</dcterms:modified>
</cp:coreProperties>
</file>