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abundance_analysis.r"/>
      <w:r>
        <w:t xml:space="preserve">Abundance_analysis.R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Abundance_analysis.R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Loads per-cluster cell counts from a Seurat/scRNA clustering run (26 clusters, labeled by cell type e.g. cMono, LT-HSC, GMPs), converts to per-sample proportions, and excludes progenitor/non-myeloid clusters. Builds a reusable bar+point plot function with significance stars, then runs four comparisons: HB vs LB within LentiPos (paired), HB vs LB within LentiNeg (paired), LentiPos vs LentiNeg within HB (unpaired), and same within LB, each with BH-adjusted t-tests. A second section correlates total cells per cluster against lentiviral UMI counts per cluster.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number_of_cells_per_cluster_for_each_sampleLenti_res0.6.txt (cluster x sample cell-count matrix); hardcoded lenti_umis vector per cluster.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HB_cell_proportions_LentiPos_vs_LentiNeg.pdf/png, LB_cell_proportions_LentiPos_vs_LentiNeg.pdf/png, LentiPos_cell_proportions_HB_vs_LB.pdf/png, LentiNeg_cell_proportions_HB_vs_LB.pdf/png, lenti_umi_correlation.pdf/png.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Determine whether clonal burden (HB/LB) or lentiviral-construct status shifts the cellular composition of hematopoietic clusters, and whether cluster size predicts lentiviral marking coverage.</w:t>
      </w:r>
    </w:p>
    <w:p>
      <w:pPr>
        <w:pStyle w:val="Heading2"/>
      </w:pPr>
      <w:bookmarkStart w:id="25" w:name="note"/>
      <w:r>
        <w:t xml:space="preserve">Note</w:t>
      </w:r>
      <w:bookmarkEnd w:id="25"/>
    </w:p>
    <w:p>
      <w:pPr>
        <w:pStyle w:val="FirstParagraph"/>
      </w:pPr>
      <w:r>
        <w:t xml:space="preserve">Distinct analysis (cell-proportion/composition, not DE) — the only cluster-composition script in the set.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2026-07-10T02:18:05Z</dcterms:created>
  <dcterms:modified xsi:type="dcterms:W3CDTF">2026-07-10T02:18:05Z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