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hared_axis_pathway.r"/>
      <w:r>
        <w:t xml:space="preserve">shared_axis_pathway.R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shared_axis_pathway.R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Merges GSEA results for the two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and two</w:t>
      </w:r>
      <w:r>
        <w:t xml:space="preserve"> </w:t>
      </w:r>
      <w:r>
        <w:t xml:space="preserve">“</w:t>
      </w:r>
      <w:r>
        <w:t xml:space="preserve">lenti</w:t>
      </w:r>
      <w:r>
        <w:t xml:space="preserve">”</w:t>
      </w:r>
      <w:r>
        <w:t xml:space="preserve"> </w:t>
      </w:r>
      <w:r>
        <w:t xml:space="preserve">contrasts, filters to pathways significant in at least one and consistent (FDR&lt;0.10) across all four, fits a total-least-squares-through-origin regression of lenti NES on burden NES (with bootstrap CI) to estimate a</w:t>
      </w:r>
      <w:r>
        <w:t xml:space="preserve"> </w:t>
      </w:r>
      <w:r>
        <w:t xml:space="preserve">“</w:t>
      </w:r>
      <w:r>
        <w:t xml:space="preserve">dose</w:t>
      </w:r>
      <w:r>
        <w:t xml:space="preserve">”</w:t>
      </w:r>
      <w:r>
        <w:t xml:space="preserve">, and decomposes each contrast’s pathway-response vector into the fraction aligned with the shared burden axis.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GSEA_</w:t>
      </w:r>
      <w:r>
        <w:t xml:space="preserve">_</w:t>
      </w:r>
      <w:r>
        <w:rPr>
          <w:i/>
        </w:rPr>
        <w:t xml:space="preserve">rankBy</w:t>
      </w:r>
      <w:r>
        <w:t xml:space="preserve">.csv files as shared_axis_heatmap.R.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shared_axis_</w:t>
      </w:r>
      <w:r>
        <w:rPr>
          <w:i/>
        </w:rPr>
        <w:t xml:space="preserve">rankBy</w:t>
      </w:r>
      <w:r>
        <w:t xml:space="preserve">.png (scatter+decomposition), shared_axis_byCondition_</w:t>
      </w:r>
      <w:r>
        <w:rPr>
          <w:i/>
        </w:rPr>
        <w:t xml:space="preserve">rankBy</w:t>
      </w:r>
      <w:r>
        <w:t xml:space="preserve">.png, shared_axis_dose.csv, shared_axis_decomposition.csv.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Test/quantify the hypothesis that the LentiPos-vs-LentiNeg pathway signature is a smaller, same-direction move along the same axis as the HB-vs-LB burden signature.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Companion to shared_axis_heatmap.R; conceptually the same</w:t>
      </w:r>
      <w:r>
        <w:t xml:space="preserve"> </w:t>
      </w:r>
      <w:r>
        <w:t xml:space="preserve">“</w:t>
      </w:r>
      <w:r>
        <w:t xml:space="preserve">shared axis</w:t>
      </w:r>
      <w:r>
        <w:t xml:space="preserve">”</w:t>
      </w:r>
      <w:r>
        <w:t xml:space="preserve"> </w:t>
      </w:r>
      <w:r>
        <w:t xml:space="preserve">hypothesis as gsea_cross_comparison.R’s captured-fraction analysis, implemented independently via TLS-through-origin regression.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2026-07-10T02:18:06Z</dcterms:created>
  <dcterms:modified xsi:type="dcterms:W3CDTF">2026-07-10T02:18:06Z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