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2_h5_analysis.r"/>
      <w:r>
        <w:t xml:space="preserve">H2_H5_analysis.R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H2_H5_analysis.R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Investigates two candidate outlier samples (HB2, HB5) in LentiPos LT-HSC pseudobulk RNA-seq. Reads the LentiPosHB vs LentiPosLB pseudobulk CPM file, computes a PCA on log2(CPM+1) highlighting HB2/HB5, plots per-sample gene dropout, and computes % of total CPM contributed by proliferation genes vs mitochondrial OXPHOS genes to characterize HB5’s transcript profile.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DEG_LentiPosHB_vs_LentiPosLB_pseudoBulk_res0.3.sce_0.txt (pseudobulk CPM matrix).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outlier_analysis_combined.pdf/.png (3-panel PCA + dropout + gene-set CPM-fraction figure), saved to</w:t>
      </w:r>
      <w:r>
        <w:t xml:space="preserve"> </w:t>
      </w:r>
      <w:r>
        <w:t xml:space="preserve">“</w:t>
      </w:r>
      <w:r>
        <w:t xml:space="preserve">LT-HSCs (1)/LentiPosHB_vs_LentiPosLB</w:t>
      </w:r>
      <w:r>
        <w:t xml:space="preserve">”</w:t>
      </w:r>
      <w:r>
        <w:t xml:space="preserve">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HB2 and HB5 are technical/biological outliers in the LentiPos LT-HSC HB group, and whether HB5 shows an elevated proliferation/OXPHOS signature suggestive of technical aberration.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Nearly identical to the final</w:t>
      </w:r>
      <w:r>
        <w:t xml:space="preserve"> </w:t>
      </w:r>
      <w:r>
        <w:t xml:space="preserve">“</w:t>
      </w:r>
      <w:r>
        <w:t xml:space="preserve">HB2_HB5_analysis</w:t>
      </w:r>
      <w:r>
        <w:t xml:space="preserve">”</w:t>
      </w:r>
      <w:r>
        <w:t xml:space="preserve"> </w:t>
      </w:r>
      <w:r>
        <w:t xml:space="preserve">section embedded at the end of HB34_v_HB125_analysis.R — same code/logic/output filenames, essentially duplicated as a standalone file.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2026-07-10T02:18:02Z</dcterms:created>
  <dcterms:modified xsi:type="dcterms:W3CDTF">2026-07-10T02:18:02Z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