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qc_trp53_mito_pca_excl_hsp.r"/>
      <w:r>
        <w:t xml:space="preserve">QC_Trp53_Mito_PCA_excl_Hsp.R</w:t>
      </w:r>
      <w:bookmarkEnd w:id="20"/>
    </w:p>
    <w:p>
      <w:pPr>
        <w:pStyle w:val="FirstParagraph"/>
      </w:pPr>
      <w:r>
        <w:rPr>
          <w:b/>
        </w:rPr>
        <w:t xml:space="preserve">Script:</w:t>
      </w:r>
      <w:r>
        <w:t xml:space="preserve"> </w:t>
      </w:r>
      <w:r>
        <w:rPr>
          <w:rStyle w:val="VerbatimChar"/>
        </w:rPr>
        <w:t xml:space="preserve">QC_Trp53_Mito_PCA_excl_Hsp.R</w:t>
      </w:r>
    </w:p>
    <w:p>
      <w:pPr>
        <w:pStyle w:val="Heading2"/>
      </w:pPr>
      <w:bookmarkStart w:id="21" w:name="what-it-does"/>
      <w:r>
        <w:t xml:space="preserve">What it does</w:t>
      </w:r>
      <w:bookmarkEnd w:id="21"/>
    </w:p>
    <w:p>
      <w:pPr>
        <w:pStyle w:val="FirstParagraph"/>
      </w:pPr>
      <w:r>
        <w:t xml:space="preserve">QC script for LT-HSCs examining per-cell Trp53, heat-shock-protein, and mitochondrial gene expression ratios via violin/boxplots per sample, then runs pseudobulk PCA on CPM-normalized sample aggregates twice — with all genes and excluding HSP+MT genes — to check whether stress-gene artifacts drive sample separation.</w:t>
      </w:r>
    </w:p>
    <w:p>
      <w:pPr>
        <w:pStyle w:val="Heading2"/>
      </w:pPr>
      <w:bookmarkStart w:id="22" w:name="inputs"/>
      <w:r>
        <w:t xml:space="preserve">Inputs</w:t>
      </w:r>
      <w:bookmarkEnd w:id="22"/>
    </w:p>
    <w:p>
      <w:pPr>
        <w:pStyle w:val="FirstParagraph"/>
      </w:pPr>
      <w:r>
        <w:t xml:space="preserve">LT-HSCs_gene_nUMI_per_cell_for_Foivos.txt.</w:t>
      </w:r>
    </w:p>
    <w:p>
      <w:pPr>
        <w:pStyle w:val="Heading2"/>
      </w:pPr>
      <w:bookmarkStart w:id="23" w:name="outputs"/>
      <w:r>
        <w:t xml:space="preserve">Outputs</w:t>
      </w:r>
      <w:bookmarkEnd w:id="23"/>
    </w:p>
    <w:p>
      <w:pPr>
        <w:pStyle w:val="FirstParagraph"/>
      </w:pPr>
      <w:r>
        <w:t xml:space="preserve">hsc_qc_trp53/hsp/mt_per_sample.pdf, hsc_qc_combined.pdf, hsc_pseudobulk_pca_all_genes.pdf, hsc_pseudobulk_pca_no_hsp_mt.pdf, hsc_pseudobulk_pca_combined.pdf, hsc_qc_ratios_per_cell.csv.</w:t>
      </w:r>
    </w:p>
    <w:p>
      <w:pPr>
        <w:pStyle w:val="Heading2"/>
      </w:pPr>
      <w:bookmarkStart w:id="24" w:name="conceptual-aim-target"/>
      <w:r>
        <w:t xml:space="preserve">Conceptual aim / target</w:t>
      </w:r>
      <w:bookmarkEnd w:id="24"/>
    </w:p>
    <w:p>
      <w:pPr>
        <w:pStyle w:val="FirstParagraph"/>
      </w:pPr>
      <w:r>
        <w:t xml:space="preserve">Assess whether stress/dissociation-artifact genes (Trp53/Hsp/mt) confound the pseudobulk PCA separation of HB vs LB samples in LT-HSCs.</w:t>
      </w:r>
    </w:p>
    <w:p>
      <w:pPr>
        <w:pStyle w:val="Heading2"/>
      </w:pPr>
      <w:bookmarkStart w:id="25" w:name="note"/>
      <w:r>
        <w:t xml:space="preserve">Note</w:t>
      </w:r>
      <w:bookmarkEnd w:id="25"/>
    </w:p>
    <w:p>
      <w:pPr>
        <w:pStyle w:val="FirstParagraph"/>
      </w:pPr>
      <w:r>
        <w:t xml:space="preserve">Related to UMI_counts_per_Cell.R (same 3 gene families) but distinct — QC+PCA focused rather than pairwise correlation focused.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2026-07-10T02:18:03Z</dcterms:created>
  <dcterms:modified xsi:type="dcterms:W3CDTF">2026-07-10T02:18:03Z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