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umi_counts_per_cell.r"/>
      <w:r>
        <w:t xml:space="preserve">UMI_counts_per_Cell.R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UMI_counts_per_Cell.R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Computes HSP-family, Trp53, and mitochondrial UMI ratios per cell for LT-HSC and classical monocytes, then produces log-log scatter plots (Spearman correlation annotated) of HSP-vs-Trp53 and HSP-vs-Mitochondrial expression per cell, faceted by cell type and colored by exposure.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LT-HSCs_gene_nUMI_per_cell_for_Foivos.txt, classical_monocytes_gene_nUMI_per_cell_for_Foivos.txt.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hsp_vs_trp53_per_cell.pdf, hsp_vs_mt_per_cell.pdf, hsp_correlations_combined.pdf.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Examine whether cellular stress markers co-vary at the single-cell level, to assess a shared stress/dissociation confound.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Companion to QC_Trp53_Mito_PCA_excl_Hsp.R — same three gene families, pairwise-correlation view rather than per-sample-distribution+PCA view.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2026-07-10T02:18:03Z</dcterms:created>
  <dcterms:modified xsi:type="dcterms:W3CDTF">2026-07-10T02:18:03Z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