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_cell_heat_score_hsc.r"/>
      <w:r>
        <w:t xml:space="preserve">per_cell_heat_score_HSC.R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per_cell_heat_score_HSC.R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For LT-HSCs, normalizes per-cell heat-shock gene UMI counts, z-scores each gene across cells, and averages into a</w:t>
      </w:r>
      <w:r>
        <w:t xml:space="preserve"> </w:t>
      </w:r>
      <w:r>
        <w:t xml:space="preserve">“</w:t>
      </w:r>
      <w:r>
        <w:t xml:space="preserve">module score</w:t>
      </w:r>
      <w:r>
        <w:t xml:space="preserve">”</w:t>
      </w:r>
      <w:r>
        <w:t xml:space="preserve"> </w:t>
      </w:r>
      <w:r>
        <w:t xml:space="preserve">per cell (hs_score); produces ridge/violin/CDF plots and an HB4-specific rescue analysis using z=0/z=1 thresholds.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nUMIs_in_each_cells_HSPCsubset_res0.3_cluster0.csv and total_nUMIs_in_each_cell_HSPCsubset_res0.3_cluster0.csv from LT-HSCs (1).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heatshock_ridge/violin/cdf/HB4_rescue/rescue_allsamples.pdf/.png and heatshock_scores_per_cell.csv.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Quantify heat-shock/stress module activation per LT-HSC using a z-scored module score, comparing HB vs LB and flagging outlier samples.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per_cell_heat_score_cMono.R (same logic, different population); z-scored counterpart of heat_stress_score_per_cell_beta.R’s raw %UMI fraction approach.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