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ot_gsea_human.r"/>
      <w:r>
        <w:t xml:space="preserve">plot_gsea_human.R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plot_gsea_human.R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visualization outputs (dotplots, barplots, cross-contrast NES heatmaps, running-ES enrichment plots) for 4 specific human CD14+ monocyte TET2 CHIP/CH DGE comparisons, reading the GSEA result CSVs produced by run_gsea.R for the first three plot types, and recomputing ranked lists + re-fetching Hallmark/GO:BP gene sets on the fly to draw enrichment curves for the top significant pathways.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GSEA_results/*.csv (from run_gsea.R) plus the four raw DGE files (DESeq2 CHIP-vs-Control and CH-vs-Control TSVs, MAST Mutant-vs-Control/Wildtype CSVs).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dotplot_</w:t>
      </w:r>
      <w:r>
        <w:t xml:space="preserve">.pdf, barplot_</w:t>
      </w:r>
      <w:r>
        <w:t xml:space="preserve">.pdf, heatmap_</w:t>
      </w:r>
      <w:r>
        <w:rPr>
          <w:i/>
        </w:rPr>
        <w:t xml:space="preserve">.pdf, enrichment</w:t>
      </w:r>
      <w:r>
        <w:t xml:space="preserve">.pdf, under GSEA_results/figures/.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Visualize which Hallmark/GO:BP pathways are enriched/depleted in human TET2-mutant/CHIP monocytes relative to controls, across two DE methods (DESeq2, MAST) and two ranking metrics.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Downstream consumer of run_gsea.R output; distinct analysis (human data) from the mouse-focused monocyte/HSC scripts.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