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run_gsea.r"/>
      <w:r>
        <w:t xml:space="preserve">run_gsea.R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run_gsea.R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Auto-discovers all DESeq2 (.tsv) and MAST (.csv) DGE result files recursively under INPUT_DIR, parses each into a common gene/logFC/padj format, builds two ranking metrics (raw logFC, and logFC x -log10(padj) with a zero-padj floor), and runs fgsea against human Hallmark and GO:BP gene sets for every file x metric x collection combination.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DESeq2_</w:t>
      </w:r>
      <w:r>
        <w:rPr>
          <w:i/>
        </w:rPr>
        <w:t xml:space="preserve">/</w:t>
      </w:r>
      <w:r>
        <w:t xml:space="preserve">.tsv and MAST_</w:t>
      </w:r>
      <w:r>
        <w:rPr>
          <w:i/>
        </w:rPr>
        <w:t xml:space="preserve">/</w:t>
      </w:r>
      <w:r>
        <w:t xml:space="preserve">.csv DGE tables under DGE_tables/DGE_tables/.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One</w:t>
      </w:r>
      <w:r>
        <w:t xml:space="preserve"> </w:t>
      </w:r>
      <w:r>
        <w:t xml:space="preserve">.csv per file/metric/collection, plus a combined GSEA_all_results.csv, all written to DGE_tables/GSEA_results/.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Systematically compute GSEA pathway enrichment for every available human monocyte DGE comparison (TET2 CHIP/CH/mutant contrasts) so downstream plotting scripts can visualize/compare them.</w:t>
      </w:r>
    </w:p>
    <w:p>
      <w:pPr>
        <w:pStyle w:val="Heading2"/>
      </w:pPr>
      <w:bookmarkStart w:id="25" w:name="note"/>
      <w:r>
        <w:t xml:space="preserve">Note</w:t>
      </w:r>
      <w:bookmarkEnd w:id="25"/>
    </w:p>
    <w:p>
      <w:pPr>
        <w:pStyle w:val="FirstParagraph"/>
      </w:pPr>
      <w:r>
        <w:t xml:space="preserve">Distinct analysis — this is the upstream GSEA-computation engine that plot_gsea_human.R consumes.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2026-07-10T02:18:07Z</dcterms:created>
  <dcterms:modified xsi:type="dcterms:W3CDTF">2026-07-10T02:18:07Z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