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3faca85fd532b6bb705d54b7dd9b947e7ee860"/>
      <w:r>
        <w:t xml:space="preserve">Project overview — Multi-Genotype HSPC Proliferation Comparison</w:t>
      </w:r>
      <w:bookmarkEnd w:id="20"/>
    </w:p>
    <w:p>
      <w:pPr>
        <w:pStyle w:val="FirstParagraph"/>
      </w:pPr>
      <w:r>
        <w:rPr>
          <w:b/>
        </w:rPr>
        <w:t xml:space="preserve">Biological question:</w:t>
      </w:r>
      <w:r>
        <w:t xml:space="preserve"> </w:t>
      </w:r>
      <w:r>
        <w:t xml:space="preserve">across several unrelated clonal-hematopoiesis (CH)</w:t>
      </w:r>
      <w:r>
        <w:t xml:space="preserve"> </w:t>
      </w:r>
      <w:r>
        <w:t xml:space="preserve">driver mutations (Asxl1-KO, Tet2-KO, Dnmt3a-mutant, Jak2-V617F), is</w:t>
      </w:r>
      <w:r>
        <w:t xml:space="preserve"> </w:t>
      </w:r>
      <w:r>
        <w:t xml:space="preserve">hematopoietic stem/progenitor cell (HSPC) proliferation increased, and is any</w:t>
      </w:r>
      <w:r>
        <w:t xml:space="preserve"> </w:t>
      </w:r>
      <w:r>
        <w:t xml:space="preserve">such effect specific to the primitive stem/progenitor compartment rather than</w:t>
      </w:r>
      <w:r>
        <w:t xml:space="preserve"> </w:t>
      </w:r>
      <w:r>
        <w:t xml:space="preserve">more differentiated cells?</w:t>
      </w:r>
    </w:p>
    <w:p>
      <w:pPr>
        <w:pStyle w:val="BodyText"/>
      </w:pPr>
      <w:r>
        <w:rPr>
          <w:b/>
        </w:rPr>
        <w:t xml:space="preserve">Design:</w:t>
      </w:r>
      <w:r>
        <w:t xml:space="preserve"> </w:t>
      </w:r>
      <w:r>
        <w:t xml:space="preserve">this is the largest and most iterative project in the portfolio —</w:t>
      </w:r>
      <w:r>
        <w:t xml:space="preserve"> </w:t>
      </w:r>
      <w:r>
        <w:t xml:space="preserve">28 scripts spanning bulk RNA-seq (3 independent public datasets), Smart-seq2</w:t>
      </w:r>
      <w:r>
        <w:t xml:space="preserve"> </w:t>
      </w:r>
      <w:r>
        <w:t xml:space="preserve">single-cell (GSE124822: WT/Tet2/Dnmt3a), and 10x single-cell (GSE263101 Jak2,</w:t>
      </w:r>
      <w:r>
        <w:t xml:space="preserve"> </w:t>
      </w:r>
      <w:r>
        <w:t xml:space="preserve">GSE158184 Asxl1, GSE209994 Tet2, GSE272266 Dnmt3a, plus exploratory GSE227026/</w:t>
      </w:r>
      <w:r>
        <w:t xml:space="preserve"> </w:t>
      </w:r>
      <w:r>
        <w:t xml:space="preserve">R878H datasets), scored throughout with a shared Tirosh cell-cycle +</w:t>
      </w:r>
      <w:r>
        <w:t xml:space="preserve"> </w:t>
      </w:r>
      <w:r>
        <w:t xml:space="preserve">proliferation-core gene signature (</w:t>
      </w:r>
      <w:r>
        <w:rPr>
          <w:rStyle w:val="VerbatimChar"/>
        </w:rPr>
        <w:t xml:space="preserve">genesets_mouse.py</w:t>
      </w:r>
      <w:r>
        <w:t xml:space="preserve">).</w:t>
      </w:r>
    </w:p>
    <w:p>
      <w:pPr>
        <w:pStyle w:val="BodyText"/>
      </w:pPr>
      <w:r>
        <w:rPr>
          <w:b/>
        </w:rPr>
        <w:t xml:space="preserve">How to read this folder:</w:t>
      </w:r>
      <w:r>
        <w:t xml:space="preserve"> </w:t>
      </w:r>
      <w:r>
        <w:t xml:space="preserve">the scripts fall into four rough generations —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First-pass / pooled-cell scoring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bulk_analysis.py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s1_smartseq2.py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s2_tenx.py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s3_synth.py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s4_clusters_ss2.py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scrna_analysis.py</w:t>
      </w:r>
      <w:r>
        <w:t xml:space="preserve">) —</w:t>
      </w:r>
      <w:r>
        <w:t xml:space="preserve"> </w:t>
      </w:r>
      <w:r>
        <w:t xml:space="preserve">naive z-score/chi-square comparisons pooling all cells per genotype.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Rigorous re-analysis</w:t>
      </w:r>
      <w:r>
        <w:t xml:space="preserve"> </w:t>
      </w:r>
      <w:r>
        <w:t xml:space="preserve">(</w:t>
      </w:r>
      <w:r>
        <w:rPr>
          <w:rStyle w:val="VerbatimChar"/>
        </w:rPr>
        <w:t xml:space="preserve">rigor_bulk.py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rigor_one.py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audit_ss2.py</w:t>
      </w:r>
      <w:r>
        <w:t xml:space="preserve">)</w:t>
      </w:r>
      <w:r>
        <w:t xml:space="preserve"> </w:t>
      </w:r>
      <w:r>
        <w:t xml:space="preserve">— proper DESeq2 + competitive gene-set tests, and a depth-confound audit.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Compartment-matched 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c1_build_ss2.py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c2_cluster_ss2.py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c_ss2_full.py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c_tenx_celltype.py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c_join.py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strict_join.py</w:t>
      </w:r>
      <w:r>
        <w:t xml:space="preserve">) —</w:t>
      </w:r>
      <w:r>
        <w:t xml:space="preserve"> </w:t>
      </w:r>
      <w:r>
        <w:t xml:space="preserve">clusters cells first and restricts the WT-vs-mutant comparison to the</w:t>
      </w:r>
      <w:r>
        <w:t xml:space="preserve"> </w:t>
      </w:r>
      <w:r>
        <w:t xml:space="preserve">correctly matched primitive (LT-HSC+MPP1) compartment.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Per-genotype panel-extraction scripts</w:t>
      </w:r>
      <w:r>
        <w:t xml:space="preserve"> </w:t>
      </w:r>
      <w:r>
        <w:t xml:space="preserve">(</w:t>
      </w:r>
      <w:r>
        <w:rPr>
          <w:rStyle w:val="VerbatimChar"/>
        </w:rPr>
        <w:t xml:space="preserve">ax_panel.py</w:t>
      </w:r>
      <w:r>
        <w:t xml:space="preserve">/</w:t>
      </w:r>
      <w:r>
        <w:rPr>
          <w:rStyle w:val="VerbatimChar"/>
        </w:rPr>
        <w:t xml:space="preserve">ax_join.py</w:t>
      </w:r>
      <w:r>
        <w:t xml:space="preserve">/</w:t>
      </w:r>
      <w:r>
        <w:t xml:space="preserve"> </w:t>
      </w:r>
      <w:r>
        <w:rPr>
          <w:rStyle w:val="VerbatimChar"/>
        </w:rPr>
        <w:t xml:space="preserve">asxl1_10x.py</w:t>
      </w:r>
      <w:r>
        <w:t xml:space="preserve">/</w:t>
      </w:r>
      <w:r>
        <w:rPr>
          <w:rStyle w:val="VerbatimChar"/>
        </w:rPr>
        <w:t xml:space="preserve">axd_panel.py</w:t>
      </w:r>
      <w:r>
        <w:t xml:space="preserve"> </w:t>
      </w:r>
      <w:r>
        <w:t xml:space="preserve">for Asxl1;</w:t>
      </w:r>
      <w:r>
        <w:t xml:space="preserve"> </w:t>
      </w:r>
      <w:r>
        <w:rPr>
          <w:rStyle w:val="VerbatimChar"/>
        </w:rPr>
        <w:t xml:space="preserve">d_panel.py</w:t>
      </w:r>
      <w:r>
        <w:t xml:space="preserve"> </w:t>
      </w:r>
      <w:r>
        <w:t xml:space="preserve">for Dnmt3a;</w:t>
      </w:r>
      <w:r>
        <w:t xml:space="preserve"> </w:t>
      </w:r>
      <w:r>
        <w:rPr>
          <w:rStyle w:val="VerbatimChar"/>
        </w:rPr>
        <w:t xml:space="preserve">jak2_panel.py</w:t>
      </w:r>
      <w:r>
        <w:t xml:space="preserve">/</w:t>
      </w:r>
      <w:r>
        <w:rPr>
          <w:rStyle w:val="VerbatimChar"/>
        </w:rPr>
        <w:t xml:space="preserve">t_panel.py</w:t>
      </w:r>
      <w:r>
        <w:t xml:space="preserve">/</w:t>
      </w:r>
      <w:r>
        <w:rPr>
          <w:rStyle w:val="VerbatimChar"/>
        </w:rPr>
        <w:t xml:space="preserve">t_save.py</w:t>
      </w:r>
      <w:r>
        <w:t xml:space="preserve"> </w:t>
      </w:r>
      <w:r>
        <w:t xml:space="preserve">for Jak2;</w:t>
      </w:r>
      <w:r>
        <w:t xml:space="preserve"> </w:t>
      </w:r>
      <w:r>
        <w:rPr>
          <w:rStyle w:val="VerbatimChar"/>
        </w:rPr>
        <w:t xml:space="preserve">t2_panel.py</w:t>
      </w:r>
      <w:r>
        <w:t xml:space="preserve">/</w:t>
      </w:r>
      <w:r>
        <w:t xml:space="preserve"> </w:t>
      </w:r>
      <w:r>
        <w:rPr>
          <w:rStyle w:val="VerbatimChar"/>
        </w:rPr>
        <w:t xml:space="preserve">t2h_panel.py</w:t>
      </w:r>
      <w:r>
        <w:t xml:space="preserve"> </w:t>
      </w:r>
      <w:r>
        <w:t xml:space="preserve">for Tet2;</w:t>
      </w:r>
      <w:r>
        <w:t xml:space="preserve"> </w:t>
      </w:r>
      <w:r>
        <w:rPr>
          <w:rStyle w:val="VerbatimChar"/>
        </w:rPr>
        <w:t xml:space="preserve">r878_panel.py</w:t>
      </w:r>
      <w:r>
        <w:t xml:space="preserve"> </w:t>
      </w:r>
      <w:r>
        <w:t xml:space="preserve">for Dnmt3a-R878H) — a reusable</w:t>
      </w:r>
      <w:r>
        <w:t xml:space="preserve"> </w:t>
      </w:r>
      <w:r>
        <w:t xml:space="preserve">template for loading one genotype’s 10x sample, scoring it, and extracting</w:t>
      </w:r>
      <w:r>
        <w:t xml:space="preserve"> </w:t>
      </w:r>
      <w:r>
        <w:t xml:space="preserve">a shared gene panel for later joining.</w:t>
      </w:r>
    </w:p>
    <w:p>
      <w:pPr>
        <w:pStyle w:val="FirstParagraph"/>
      </w:pPr>
      <w:r>
        <w:rPr>
          <w:b/>
        </w:rPr>
        <w:t xml:space="preserve">Headline result:</w:t>
      </w:r>
      <w:r>
        <w:t xml:space="preserve"> </w:t>
      </w:r>
      <w:r>
        <w:rPr>
          <w:rStyle w:val="VerbatimChar"/>
        </w:rPr>
        <w:t xml:space="preserve">c_final.py</w:t>
      </w:r>
      <w:r>
        <w:t xml:space="preserve"> </w:t>
      </w:r>
      <w:r>
        <w:t xml:space="preserve">aggregates the three genotypes that reached</w:t>
      </w:r>
      <w:r>
        <w:t xml:space="preserve"> </w:t>
      </w:r>
      <w:r>
        <w:t xml:space="preserve">a compartment-matched conclusion — Tet2-KO LT-HSCs cycle significantly LESS</w:t>
      </w:r>
      <w:r>
        <w:t xml:space="preserve"> </w:t>
      </w:r>
      <w:r>
        <w:t xml:space="preserve">than WT (p=0.0076), Dnmt3a-mutant LT-HSCs show no significant difference</w:t>
      </w:r>
      <w:r>
        <w:t xml:space="preserve"> </w:t>
      </w:r>
      <w:r>
        <w:t xml:space="preserve">(p=0.74), and Jak2V617F LT-HSC+MPP1 cells cycle significantly MORE than WT</w:t>
      </w:r>
      <w:r>
        <w:t xml:space="preserve"> </w:t>
      </w:r>
      <w:r>
        <w:t xml:space="preserve">(p=5.5e-19) — demonstrating genotype-specific, non-uniform effects on HSPC</w:t>
      </w:r>
      <w:r>
        <w:t xml:space="preserve"> </w:t>
      </w:r>
      <w:r>
        <w:t xml:space="preserve">proliferation that would have been missed or reversed by pooled,</w:t>
      </w:r>
      <w:r>
        <w:t xml:space="preserve"> </w:t>
      </w:r>
      <w:r>
        <w:t xml:space="preserve">non-compartment-matched analysis.</w:t>
      </w:r>
    </w:p>
    <w:p>
      <w:pPr>
        <w:pStyle w:val="BodyText"/>
      </w:pPr>
      <w:r>
        <w:rPr>
          <w:rStyle w:val="VerbatimChar"/>
        </w:rPr>
        <w:t xml:space="preserve">g2m_vs_s_signtest.py</w:t>
      </w:r>
      <w:r>
        <w:t xml:space="preserve"> </w:t>
      </w:r>
      <w:r>
        <w:t xml:space="preserve">(in the</w:t>
      </w:r>
      <w:r>
        <w:t xml:space="preserve"> </w:t>
      </w:r>
      <w:r>
        <w:rPr>
          <w:rStyle w:val="VerbatimChar"/>
        </w:rPr>
        <w:t xml:space="preserve">seurat_harmony_output/</w:t>
      </w:r>
      <w:r>
        <w:t xml:space="preserve"> </w:t>
      </w:r>
      <w:r>
        <w:t xml:space="preserve">subfolder) is a later</w:t>
      </w:r>
      <w:r>
        <w:t xml:space="preserve"> </w:t>
      </w:r>
      <w:r>
        <w:t xml:space="preserve">reconciliation step against a separate R/Seurat clustering of Asxl1 data,</w:t>
      </w:r>
      <w:r>
        <w:t xml:space="preserve"> </w:t>
      </w:r>
      <w:r>
        <w:t xml:space="preserve">showing that an apparent Asxl1-KO cell-cycle increase was not a clean,</w:t>
      </w:r>
      <w:r>
        <w:t xml:space="preserve"> </w:t>
      </w:r>
      <w:r>
        <w:t xml:space="preserve">symmetric S+G2M proliferation increase once the two phases were examined</w:t>
      </w:r>
      <w:r>
        <w:t xml:space="preserve"> </w:t>
      </w:r>
      <w:r>
        <w:t xml:space="preserve">separately — a caution about over-interpreting combined cell-cycle scores.</w:t>
      </w:r>
    </w:p>
    <w:p>
      <w:pPr>
        <w:pStyle w:val="BodyText"/>
      </w:pPr>
      <w:r>
        <w:t xml:space="preserve">Several panel-extraction scripts (</w:t>
      </w:r>
      <w:r>
        <w:rPr>
          <w:rStyle w:val="VerbatimChar"/>
        </w:rPr>
        <w:t xml:space="preserve">d_panel.py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jak2_panel.py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r878_panel.py</w:t>
      </w:r>
      <w:r>
        <w:t xml:space="preserve">) have no corresponding</w:t>
      </w:r>
      <w:r>
        <w:t xml:space="preserve"> </w:t>
      </w:r>
      <w:r>
        <w:t xml:space="preserve">“</w:t>
      </w:r>
      <w:r>
        <w:t xml:space="preserve">join</w:t>
      </w:r>
      <w:r>
        <w:t xml:space="preserve">”</w:t>
      </w:r>
      <w:r>
        <w:t xml:space="preserve">/comparison script recovered —</w:t>
      </w:r>
      <w:r>
        <w:t xml:space="preserve"> </w:t>
      </w:r>
      <w:r>
        <w:t xml:space="preserve">these upgraded/exploratory datasets appear to have been prepared but not</w:t>
      </w:r>
      <w:r>
        <w:t xml:space="preserve"> </w:t>
      </w:r>
      <w:r>
        <w:t xml:space="preserve">carried through to a final statistical comparison.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2026-07-10T01:08:12Z</dcterms:created>
  <dcterms:modified xsi:type="dcterms:W3CDTF">2026-07-10T01:08:12Z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