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25f2904cf732f52adc3b2fcb0f7137490da0cb"/>
      <w:r>
        <w:t xml:space="preserve">QC audit: does sequencing depth confound the Smart-seq2 proliferation signal?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audit_ss2.py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Re-processes the same Smart-seq2 plates (WT/Tet2_30/Tet2_272/Dnmt3a_675, plus a second WT plate) with per-plate/batch QC summaries (median genes detected, median total counts, %cycling), checks the within-WT correlation between genes-detected and cell-cycle score, and fits depth-adjusted logistic regression models (cycling ~ genotype + sequencing-depth z-score) for Tet2 and Dnmt3a vs WT to see whether the naive (unadjusted) proliferation difference survives controlling for detection depth.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GSE124822 Smart-seq2 RNA count files as s1_smartseq2.py/c1_build_ss2.py.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ss2_audit_percell.csv, ss2_audit_perplate.csv; console odds ratios (unadjusted vs. depth-adjusted) and p-values per genotype.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Rule out that any apparent Tet2/Dnmt3a proliferation shift is actually an artifact of different sequencing depth between plates/batches (deeper sequencing tends to detect more transcripts, inflating cell-cycle scores).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Reports, per mutant, both the unadjusted and depth-adjusted odds ratio and p-value for cycling ~ genotype — used to confirm whether the c2/c_ss2_full cluster-level proliferation differences hold up after controlling for detection depth as a technical confound.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2026-07-10T01:08:08Z</dcterms:created>
  <dcterms:modified xsi:type="dcterms:W3CDTF">2026-07-10T01:08:08Z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