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c4e24aa3fc7ab4566629254691d8bd250d7505"/>
      <w:r>
        <w:t xml:space="preserve">Smart-seq2 pipeline step 2: Leiden clustering + per-cluster proliferation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c2_cluster_ss2.py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Pipeline step 2 of 2 (paired with c1_build_ss2.py)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Loads the AnnData built by c1_build_ss2.py, computes a neighbor graph, Leiden clusters and UMAP embedding, labels each cluster by its dominant lineage-marker signature, and computes %cycling and mean proliferation score per (cell-type cluster x genotype) combination.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ss2_built.h5ad (output of c1_build_ss2.py).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ss2_cluster_proliferation.csv, ss2_cluster_marker_scores.csv, fig4_ss2_umap.png, ss2_clustered.h5ad.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Tet2/Dnmt3a-associated proliferation differences seen in the pooled Smart-seq2 analysis are confined to the primitive/HSC-labeled cluster (the biologically relevant compartment) or spread across more differentiated cell types in the plates.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Provides the per-cluster cycling/proliferation table used to hand-pick the LT-HSC-labeled cluster for the final matched-compartment comparison summarized in c_final.py.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2026-07-10T01:08:09Z</dcterms:created>
  <dcterms:modified xsi:type="dcterms:W3CDTF">2026-07-10T01:08:09Z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