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d03214a436e7578ac92d4a907ccc99f408fe2"/>
      <w:r>
        <w:t xml:space="preserve">Final cross-genotype summary figure (matched compartment)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c_final.py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Hardcodes the final, matched-compartment result for all three genotypes analyzed with single-cell data (Tet2 LT-HSC Smart-seq2: WT 42.4% vs MUT 28.8% cycling, p=0.0076, down; Dnmt3a LT-HSC Smart-seq2: 42.4% vs 45.3%, p=0.74, not significant; Jak2V617F LT-HSC+MPP1 10x: 45.7% vs 52.9%, p=5.5e-19, up) and draws the project’s headline summary bar chart.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None loaded from disk — the three result rows are hardcoded from the upstream cluster/compartment analyses (c2_cluster_ss2.py / c_ss2_full.py for Tet2 &amp; Dnmt3a, c_join.py for Jak2V617F).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MASTER_matched_compartment.csv, fig6_summary.png.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Aggregate the project’s three genotype-specific, compartment-matched proliferation results into one directly comparable summary figure and table.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The project’s headline conclusion: matching genotype to its correct primitive compartment reveals genotype-specific, even opposite-direction effects on proliferation — Tet2-KO LT-HSCs cycle LESS than WT, Dnmt3a-mutant LT-HSCs show no significant difference, and Jak2V617F LT-HSC+MPP1 cells cycle substantially MORE than WT — underscoring that pooled, non-compartment-matched comparisons (as in the earlier s1-s4/scrna_analysis.py scripts) would have obscured or reversed these effects.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