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d68e970482675388182e3807acb7f943b5b296"/>
      <w:r>
        <w:t xml:space="preserve">Cross-dataset synthesis: phase fractions &amp; proliferation across all 3 mutants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s3_synth.py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Superseded by c_final.py (compartment-matched version)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Combines the per-cell outputs of s1_smartseq2.py (WT/Tet2/Dnmt3a) and s2_tenx.py (WT/Jak2V617F) into master summary tables and three comparison figures: stacked cell-cycle-phase composition bars, a cycling-fraction bar chart, and per-cell proliferation-score violin plots, all spanning the three CH driver genotypes and their respective WT controls.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obs_smartseq2_WT/Tet2/Dnmt3a.csv and obs_tenx_WT/Jak2V617F.csv (outputs of s1_smartseq2.py and s2_tenx.py).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MASTER_scrna_phase_fractions.csv, MASTER_scrna_comparisons.csv, fig1_phase_fractions.png, fig2_cycling_fraction.png, fig3_prolif_score.png.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Produce one unified, cross-genotype summary of the pooled (non-compartment-matched) single-cell proliferation comparison, as an interim checkpoint before adding cluster/compartment structure.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The MASTER_scrna_comparisons.csv table is the pooled-cell-level precursor to the more rigorous, compartment-matched comparison later finalized in c_final.py’s MASTER_matched_compartment.csv.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2026-07-10T01:08:11Z</dcterms:created>
  <dcterms:modified xsi:type="dcterms:W3CDTF">2026-07-10T01:08:11Z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