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f02447899eb872154311ac6287e3b6c9079590"/>
      <w:r>
        <w:t xml:space="preserve">Smart-seq2: add Leiden clustering + lineage annotation to WT/Tet2/Dnmt3a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s4_clusters_ss2.py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Superseded by c1_build_ss2.py + c2_cluster_ss2.py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Extends the pooled Smart-seq2 analysis by adding Leiden clustering, UMAP embedding, and lineage-marker-based cluster annotation (HSC/MPP/MkP/Ery/Mye/Lymph signature scores), so that %cycling and proliferation score can be reported per cell-type cluster x genotype instead of only pooled across all cells.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GSE124822 Smart-seq2 count files as s1_smartseq2.py.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ss2_cluster_proliferation.csv, ss2_cluster_marker_scores.csv, fig4_ss2_umap.png.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any pooled-cell proliferation differences (from s1_smartseq2.py) are actually located in the primitive HSC-like cluster or are driven by more differentiated contaminating cells in the plates.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An intermediate clustering step; its Leiden-based approach was replaced in c1_build_ss2.py/c2_cluster_ss2.py by a more complete two-step build+cluster pipeline, and in c_ss2_full.py by a KMeans-based self-contained rewrite (avoiding a Leiden/igraph dependency issue).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