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95d6b53bbc15a07af801ce89f4a957aecd9247"/>
      <w:r>
        <w:t xml:space="preserve">Classical_monocytes_number_of_UMIs_cutoff_analysis.R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Classical_monocytes_number_of_UMIs_cutoff_analysis.R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Runs a GSEA sensitivity analysis on Classical Monocytes across 4 group comparisons (LentiPos vs LentiNeg in LB, LentiPos vs LentiNeg in HB, HB vs LB in LentiNeg, HB vs LB in LentiPos) crossed with 6 nUMI-filtering</w:t>
      </w:r>
      <w:r>
        <w:t xml:space="preserve"> </w:t>
      </w:r>
      <w:r>
        <w:t xml:space="preserve">“</w:t>
      </w:r>
      <w:r>
        <w:t xml:space="preserve">cases</w:t>
      </w:r>
      <w:r>
        <w:t xml:space="preserve">”</w:t>
      </w:r>
      <w:r>
        <w:t xml:space="preserve"> </w:t>
      </w:r>
      <w:r>
        <w:t xml:space="preserve">(no filter, fixed threshold 13700, pooled NB threshold 9227, each with/without UMI-matching), each followed by pseudobulk edgeR DE and fgsea against MSigDB Hallmark (mouse). The script assembles per-comparison heatmaps at two FDR cutoffs (0.25/0.10) into a 4x2 grid, then appends a second block using ComplexHeatmap to build an</w:t>
      </w:r>
      <w:r>
        <w:t xml:space="preserve"> </w:t>
      </w:r>
      <w:r>
        <w:t xml:space="preserve">“</w:t>
      </w:r>
      <w:r>
        <w:t xml:space="preserve">Ultra HD</w:t>
      </w:r>
      <w:r>
        <w:t xml:space="preserve">”</w:t>
      </w:r>
      <w:r>
        <w:t xml:space="preserve"> </w:t>
      </w:r>
      <w:r>
        <w:t xml:space="preserve">master clustered heatmap with FDR-masked NES values.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 (gene x cell UMI matrix), Lenti_detection_thresholds_SCTv2.csv (per-sample thresholds); relies on a pre-existing</w:t>
      </w:r>
      <w:r>
        <w:t xml:space="preserve"> </w:t>
      </w:r>
      <w:r>
        <w:rPr>
          <w:rStyle w:val="VerbatimChar"/>
        </w:rPr>
        <w:t xml:space="preserve">all_combined_res</w:t>
      </w:r>
      <w:r>
        <w:t xml:space="preserve">/</w:t>
      </w:r>
      <w:r>
        <w:rPr>
          <w:rStyle w:val="VerbatimChar"/>
        </w:rPr>
        <w:t xml:space="preserve">col_fun</w:t>
      </w:r>
      <w:r>
        <w:t xml:space="preserve">/</w:t>
      </w:r>
      <w:r>
        <w:rPr>
          <w:rStyle w:val="VerbatimChar"/>
        </w:rPr>
        <w:t xml:space="preserve">col_meta</w:t>
      </w:r>
      <w:r>
        <w:t xml:space="preserve"> </w:t>
      </w:r>
      <w:r>
        <w:t xml:space="preserve">object for the second block (not self-contained).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GSEA_Monocytes_</w:t>
      </w:r>
      <w:r>
        <w:t xml:space="preserve">_all_results.csv per comparison, GSEA_Monocytes_sensitivity_heatmap.pdf/.png (4x2 grid), GSEA_Master_Sensitivity_Ultra_HD.pdf.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how robust the Hallmark pathway calls for burden (HB/LB) and lentiviral-marking (LentiPos/Neg) contrasts in monocytes are to different UMI-depth filtering/matching choices.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Classical_monocytes_number_of_UMIs_cutoff_analysis_human_pathways.R and _mouse_pathways.R (same 6-case core loop); this file additionally appends the</w:t>
      </w:r>
      <w:r>
        <w:t xml:space="preserve"> </w:t>
      </w:r>
      <w:r>
        <w:t xml:space="preserve">“</w:t>
      </w:r>
      <w:r>
        <w:t xml:space="preserve">Ultra HD</w:t>
      </w:r>
      <w:r>
        <w:t xml:space="preserve">”</w:t>
      </w:r>
      <w:r>
        <w:t xml:space="preserve"> </w:t>
      </w:r>
      <w:r>
        <w:t xml:space="preserve">ComplexHeatmap block (which references undefined objects, i.e. is meant to run after another script) that the other two variants execute in fuller, self-contained form with 8 cases.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2026-07-10T02:18:00Z</dcterms:created>
  <dcterms:modified xsi:type="dcterms:W3CDTF">2026-07-10T02:18:00Z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