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216ea2834bc9eef34d16bb89fc40dbae5ea885"/>
      <w:r>
        <w:t xml:space="preserve">Classical_monocytes_number_of_UMIs_cutoff_analysis_approach_comparison_global_v_persample.R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Classical_monocytes_number_of_UMIs_cutoff_analysis_approach_comparison_global_v_persample.R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For LT-HSCs, fits a negative-binomial (fallback Poisson) regression of Lenti UMI counts on log(total nUMI) using two different training-set definitions: Approach A (global top 50% Lenti-frequency cells) and Approach B (top 50% per sample, then pooled), then derives the nUMI threshold at which P(detect &gt;=1 Lenti UMI) = 80% for each approach and compares them.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LT-HSCs_gene_nUMI_per_cell_for_Foivos.txt (gene x cell UMI matrix).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Lenti_threshold_comparison_LTHSCs.pdf/.png (two overlaid detection-probability curves with threshold annotations); printed threshold values.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Decide/validate which cell-selection strategy (global vs per-sample ranking) should be used to define the lentiviral-detection UMI threshold for LT-HSCs, and quantify how much the resulting threshold differs between approaches.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only file focused on comparing threshold-derivation methodology itself rather than running downstream DE/GSEA.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2026-07-10T02:17:59Z</dcterms:created>
  <dcterms:modified xsi:type="dcterms:W3CDTF">2026-07-10T02:17:59Z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