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c6c5546ff82e40bc681be8bc9b0ec6464679d30"/>
      <w:r>
        <w:t xml:space="preserve">Classical_monocytes_number_of_UMIs_cutoff_analysis_human_pathways.R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Classical_monocytes_number_of_UMIs_cutoff_analysis_human_pathways.R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Same core pipeline as Classical_monocytes_number_of_UMIs_cutoff_analysis.R (4 comparisons x 8 UMI-filtering cases, including 2 new</w:t>
      </w:r>
      <w:r>
        <w:t xml:space="preserve"> </w:t>
      </w:r>
      <w:r>
        <w:t xml:space="preserve">“</w:t>
      </w:r>
      <w:r>
        <w:t xml:space="preserve">sample-specific SCTv2 threshold</w:t>
      </w:r>
      <w:r>
        <w:t xml:space="preserve">”</w:t>
      </w:r>
      <w:r>
        <w:t xml:space="preserve"> </w:t>
      </w:r>
      <w:r>
        <w:t xml:space="preserve">cases, pseudobulk edgeR + fgsea), but uses msigdbr(species =</w:t>
      </w:r>
      <w:r>
        <w:t xml:space="preserve"> </w:t>
      </w:r>
      <w:r>
        <w:t xml:space="preserve">“</w:t>
      </w:r>
      <w:r>
        <w:t xml:space="preserve">Mus musculus</w:t>
      </w:r>
      <w:r>
        <w:t xml:space="preserve">”</w:t>
      </w:r>
      <w:r>
        <w:t xml:space="preserve">, category =</w:t>
      </w:r>
      <w:r>
        <w:t xml:space="preserve"> </w:t>
      </w:r>
      <w:r>
        <w:t xml:space="preserve">“</w:t>
      </w:r>
      <w:r>
        <w:t xml:space="preserve">H</w:t>
      </w:r>
      <w:r>
        <w:t xml:space="preserve">”</w:t>
      </w:r>
      <w:r>
        <w:t xml:space="preserve">) gene sets and ranks fgsea by sign(logFC) * -log10(PValue). Adds a cell-count bar-plot section and a combined cross-comparison heatmap-with-dendrogram block, then a final ComplexHeatmap</w:t>
      </w:r>
      <w:r>
        <w:t xml:space="preserve"> </w:t>
      </w:r>
      <w:r>
        <w:t xml:space="preserve">“</w:t>
      </w:r>
      <w:r>
        <w:t xml:space="preserve">Master Sensitivity</w:t>
      </w:r>
      <w:r>
        <w:t xml:space="preserve">”</w:t>
      </w:r>
      <w:r>
        <w:t xml:space="preserve"> </w:t>
      </w:r>
      <w:r>
        <w:t xml:space="preserve">heatmap reading back its own written CSVs.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classical_monocytes_gene_nUMI_per_cell_for_Foivos.txt, Lenti_detection_thresholds_SCTv2.csv.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GSEA_Monocytes_</w:t>
      </w:r>
      <w:r>
        <w:t xml:space="preserve">_all_results.csv, GSEA_Monocytes_cell_counts_per_case.pdf/.png, GSEA_Monocytes_sensitivity_heatmap.pdf/.png, GSEA_Monocytes_combined_heatmap_FDR</w:t>
      </w:r>
      <w:r>
        <w:t xml:space="preserve">.pdf/.png, GSEA_Master_Sensitivity_Mono_FDR0_05.pdf.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Same as the base file (UMI-filter sensitivity of Hallmark GSEA in monocytes), extended to 8 filtering cases and self-contained through to the master heatmap, despite filename saying</w:t>
      </w:r>
      <w:r>
        <w:t xml:space="preserve"> </w:t>
      </w:r>
      <w:r>
        <w:t xml:space="preserve">“</w:t>
      </w:r>
      <w:r>
        <w:t xml:space="preserve">human_pathways</w:t>
      </w:r>
      <w:r>
        <w:t xml:space="preserve">”</w:t>
      </w:r>
      <w:r>
        <w:t xml:space="preserve"> </w:t>
      </w:r>
      <w:r>
        <w:t xml:space="preserve">— gene sets used are actually mouse.</w:t>
      </w:r>
    </w:p>
    <w:p>
      <w:pPr>
        <w:pStyle w:val="Heading2"/>
      </w:pPr>
      <w:bookmarkStart w:id="25" w:name="note"/>
      <w:r>
        <w:t xml:space="preserve">Note</w:t>
      </w:r>
      <w:bookmarkEnd w:id="25"/>
    </w:p>
    <w:p>
      <w:pPr>
        <w:pStyle w:val="FirstParagraph"/>
      </w:pPr>
      <w:r>
        <w:t xml:space="preserve">Near-duplicate of Classical_monocytes_number_of_UMIs_cutoff_analysis_mouse_pathways.R (identical except mouse_pathways version uses collection=</w:t>
      </w:r>
      <w:r>
        <w:t xml:space="preserve">“</w:t>
      </w:r>
      <w:r>
        <w:t xml:space="preserve">MH</w:t>
      </w:r>
      <w:r>
        <w:t xml:space="preserve">”</w:t>
      </w:r>
      <w:r>
        <w:t xml:space="preserve">, db_species=</w:t>
      </w:r>
      <w:r>
        <w:t xml:space="preserve">“</w:t>
      </w:r>
      <w:r>
        <w:t xml:space="preserve">MM</w:t>
      </w:r>
      <w:r>
        <w:t xml:space="preserve">”</w:t>
      </w:r>
      <w:r>
        <w:t xml:space="preserve"> </w:t>
      </w:r>
      <w:r>
        <w:t xml:space="preserve">msigdbr call instead of category=</w:t>
      </w:r>
      <w:r>
        <w:t xml:space="preserve">“</w:t>
      </w:r>
      <w:r>
        <w:t xml:space="preserve">H</w:t>
      </w:r>
      <w:r>
        <w:t xml:space="preserve">”</w:t>
      </w:r>
      <w:r>
        <w:t xml:space="preserve">); also near-duplicate of the logFCrankonly variant but differs in fgsea ranking metric and N_PERM (1000 vs 5000).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2026-07-10T02:17:59Z</dcterms:created>
  <dcterms:modified xsi:type="dcterms:W3CDTF">2026-07-10T02:17:59Z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