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f3db7fb5c11e155e967cd4a1a77532087f7638"/>
      <w:r>
        <w:t xml:space="preserve">Classical_monocytes_number_of_UMIs_cutoff_analysis_human_pathways_logFCrankonly.R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Classical_monocytes_number_of_UMIs_cutoff_analysis_human_pathways_logFCrankonly.R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Identical structure to the human_pathways.R file (4 comparisons x 8 UMI cases, pseudobulk edgeR, cell-count plots, combined dendrogram heatmap, master ComplexHeatmap), but changes the fgsea ranking to raw logFC only (dropping the sign*-log10P weighting) and raises N_PERM to 5000; also sets set.seed(42) (called twice) before each fgsea call for reproducibility.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classical_monocytes_gene_nUMI_per_cell_for_Foivos.txt,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Same file set as human_pathways.R (GSEA_Monocytes_*_all_results.csv, cell-count plots, sensitivity heatmap, combined dendrogram heatmaps, GSEA_Master_Sensitivity_Mono_FDR0_05.pdf).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Re-test the same UMI-filtering sensitivity question but using logFC-only gene ranking (rather than signed significance) to check whether pathway calls are sensitive to the ranking-metric choice.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human_pathways.R — only the fgsea ranking statistic and permutation count differ; also near-identical to the mouse_pathways_logFCrankonly.R version.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2026-07-10T02:17:59Z</dcterms:created>
  <dcterms:modified xsi:type="dcterms:W3CDTF">2026-07-10T02:17:59Z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