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b676111046050c668af086bf40417bffb4242"/>
      <w:r>
        <w:t xml:space="preserve">Classical_monocytes_number_of_UMIs_cutoff_analysis_mouse_pathways_logFCrankonly.R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Classical_monocytes_number_of_UMIs_cutoff_analysis_mouse_pathways_logFCrankonly.R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as mouse_pathways.R but changes fgsea ranking to raw logFC (no -log10P weighting) and raises N_PERM to 5000, with a duplicated set.seed(42) call for reproducibility; retains cell-count plots, combined dendrogram heatmap, and master ComplexHeatmap sections.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classical_monocytes_gene_nUMI_per_cell_for_Foivos.txt,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GSEA_Monocytes_</w:t>
      </w:r>
      <w:r>
        <w:t xml:space="preserve">_all_results.csv, GSEA_Monocytes_cell_counts_per_case.pdf/.png, GSEA_Monocytes_sensitivity_heatmap.pdf/.png, GSEA_Monocytes_combined_heatmap_FDR</w:t>
      </w:r>
      <w:r>
        <w:t xml:space="preserve">.pdf/.png, GSEA_Master_Sensitivity_Mono_FDR0_05.pdf.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Tests whether monocyte Hallmark pathway calls change when ranking genes by logFC alone instead of significance-weighted logFC, using the mouse-labeled msigdbr call.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mouse_pathways.R (ranking metric/N_PERM differ) and of human_pathways_logFCrankonly.R (only the msigdbr call syntax differs); the 6th member of a tightly related family of 6 files.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2026-07-10T02:17:59Z</dcterms:created>
  <dcterms:modified xsi:type="dcterms:W3CDTF">2026-07-10T02:17:59Z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