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821d27cb383868c7c5b95f9835d5a48f290bf9"/>
      <w:r>
        <w:t xml:space="preserve">Inflammation_heatmap_gene_monocytes_UMIsubsampling.R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Inflammation_heatmap_gene_monocytes_UMIsubsampling.R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inflammation-gene-panel x 4-comparison x 8-case pipeline as the sibling script, but adds a global-minimum-UMI-target subsampling step before pseudobulking so every group is built from an equalized total UMI budget before edgeR QLF is run.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inflammation_genes_DEG_equalUMI_all_results.csv and Inflammation_genes_heatmap_Monocytes_equalUMI.pdf.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biological question as the non-subsampled version, additionally controlling for total sequencing depth per pseudobulk group.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Inflammation_heatmap_gene_monocytes.R (adds UMI-equalization) and of Inflammation_heatmap_gene_monocytes_UMIsubsampling_unadjastedp.R (identical except mask uses FDR vs raw p-value).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