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a51ef61e636da02492ea08e4c38d31b9e54cff"/>
      <w:r>
        <w:t xml:space="preserve">Inflammation_heatmap_gene_monocytes_UMIsubsampling_unadjastedp.R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Inflammation_heatmap_gene_monocytes_UMIsubsampling_unadjastedp.R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Essentially identical pipeline to Inflammation_heatmap_gene_monocytes_UMIsubsampling.R, but the significance mask on the logFC heatmap uses raw (unadjusted) PValue &lt; 0.05 rather than FDR &lt; 0.05.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classical_monocytes_gene_nUMI_per_cell_for_Foivos.txt, Lenti_detection_thresholds_SCTv2.csv.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inflammation_genes_DEG_equalUMI_pval_all_results.csv and Inflammation_genes_heatmap_Monocytes_equalUMI_pval.pdf.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the UMI-equalized inflammation analysis but with a more permissive significance threshold, as a sensitivity check.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Near-identical duplicate of Inflammation_heatmap_gene_monocytes_UMIsubsampling.R, differing only in FDR vs unadjusted-p mask.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2026-07-10T02:18:00Z</dcterms:created>
  <dcterms:modified xsi:type="dcterms:W3CDTF">2026-07-10T02:18:00Z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