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79da62ef7be5e4077573ce872cd1483c89c6a4"/>
      <w:r>
        <w:t xml:space="preserve">Lenti_frequency_in_subclusters_nalaysis_2.R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Lenti_frequency_in_subclusters_nalaysis_2.R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Same pipeline as Lenti_frequency_in_subclusters_nalaysis.R plus two extra appended sections: formal HB-vs-LB statistical comparison of Lenti+ % (Mann-Whitney/Welch/Student t-tests with bracket-annotated plot), and UMI sequencing-depth distribution plots (violin and median-per-sample) for both cell types.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Same as the sibling file.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All sibling outputs plus lenti_freq_HBvsLB_stats.pdf, lenti_freq_stats.csv, umi_depth_violin_per_sample.pdf, umi_depth_median_per_sample.pdf, umi_depth_combined.pdf.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Same as sibling, extended to formally test HB-vs-LB Lenti+ frequency differences and characterize raw sequencing depth per sample/cell type.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Near-duplicate/extended superset of Lenti_frequency_in_subclusters_nalaysis.R.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2026-07-10T02:18:00Z</dcterms:created>
  <dcterms:modified xsi:type="dcterms:W3CDTF">2026-07-10T02:18:00Z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