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52b52aa902ec7c6eff0b85eead45e74ed485ac"/>
      <w:r>
        <w:t xml:space="preserve">Mono_GSEA_UMIcutoff_sensitivity_analysis.R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Mono_GSEA_UMIcutoff_sensitivity_analysis.R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GSEA sensitivity analysis for classical monocytes testing whether Hallmark pathway results depend on UMI-filtering strategy: 4 DE comparisons x 4 UMI-filtering cases (all cells, UMI-matched, fixed threshold &gt;=13700, fixed threshold + matched), pseudobulk edgeR DE then fgsea against Hallmark, assembled into a 4x2 NES heatmap grid at two FDR cutoffs.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and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GSEA_Monocytes_</w:t>
      </w:r>
      <w:r>
        <w:t xml:space="preserve">_all_results.csv per comparison, combined GSEA_Monocytes_sensitivity_heatmap.pdf/.png.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Hallmark pathway enrichment results in classical monocytes are robust to UMI-count filtering/matching choices.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but thematically related to the Classical_monocytes_number_of_UMIs_cutoff_analysis* family (simpler, 4-case version).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