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o_of_lentiall_umi_analysis.r"/>
      <w:r>
        <w:t xml:space="preserve">No_of_LentiAll_UMI_analysis.R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No_of_LentiAll_UMI_analysis.R</w:t>
      </w:r>
    </w:p>
    <w:p>
      <w:pPr>
        <w:pStyle w:val="BodyText"/>
      </w:pPr>
      <w:r>
        <w:rPr>
          <w:b/>
        </w:rPr>
        <w:t xml:space="preserve">This file is byte-identical to</w:t>
      </w:r>
      <w:r>
        <w:t xml:space="preserve"> </w:t>
      </w:r>
      <w:r>
        <w:rPr>
          <w:rStyle w:val="VerbatimChar"/>
        </w:rPr>
        <w:t xml:space="preserve">No_of_LentiAll_UMI_analysis.R</w:t>
      </w:r>
      <w:r>
        <w:t xml:space="preserve"> </w:t>
      </w:r>
      <w:r>
        <w:rPr>
          <w:b/>
        </w:rPr>
        <w:t xml:space="preserve">— see that copy’s analysis for full context.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(no description recovered)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(unknown)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2026-07-10T02:18:11Z</dcterms:created>
  <dcterms:modified xsi:type="dcterms:W3CDTF">2026-07-10T02:18:11Z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