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bundance_analysis_ratiothr.r"/>
      <w:r>
        <w:t xml:space="preserve">abundance_analysis_ratioThr.R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abundance_analysis_ratioThr.R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Classifies cells as LentiPos/LentiNeg using ratio thresholds (&gt;=5e-5 / &lt;=1e-5), computes per-sample cluster-composition proportions across ~20 annotated Harmony clusters, and generates four significance-tested bar+dot plots (HB LentiPos vs LentiNeg, LB LentiPos vs LentiNeg, LentiPos HB vs LB, LentiNeg HB vs LB) plus a cluster-size vs Lenti-UMI correlation scatter.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lenti_ratio_per_cluster/per_cell_lenti_ratio.csv.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props_per_sample_genotype_cluster.csv, four PDF+PNG proportion plots, lenti_coverage_per_cluster.csv, lenti_umi_correlation.pdf/.png.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Lenti+ clones are over/under-represented in particular differentiation clusters, and whether this differs by burden.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Companion to No_of_LentiAll_UMI_analysis.R (same thresholds/input CSV) — this file focuses on abundance statistics, the other on UMI-depth QC for the same classification.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2026-07-10T02:17:59Z</dcterms:created>
  <dcterms:modified xsi:type="dcterms:W3CDTF">2026-07-10T02:17:59Z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