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59a588788ae77ec4e64c168b30266e2a013602"/>
      <w:r>
        <w:t xml:space="preserve">cutoff_impact_on_lenti_freq_subsampling.R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cutoff_impact_on_lenti_freq_subsampling.R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per-cell gene UMI matrices for LT-HSCs and Classical Monocytes, computes the original %Lenti+ per sample at a fixed cutoff (1e-4), then repeats after downsampling each cell’s UMIs to several fixed depths (1000-15000), excluding samples below a minimum cell count; produces heatmaps and line/trend plots by exposure group.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LT-HSCs_gene_nUMI_per_cell_for_Foivos.txt, classical_monocytes_gene_nUMI_per_cell_for_Foivos.txt.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lenti_1e4_heatmap_hsc/mono.pdf, lenti_1e4_line_combined.pdf, lenti_1e4_persample_hsc/mono.pdf, lenti_1e4_subsampling_results.csv.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the fraction of cells called Lenti-positive is a sequencing-depth artifact, by subsampling UMIs to a common depth.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single-cell UMI-depth QC/robustness check.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