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ermut_cell_death_r.r"/>
      <w:r>
        <w:t xml:space="preserve">permut_cell_death_R’.R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permut_cell_death_R'.R</w:t>
      </w:r>
    </w:p>
    <w:p>
      <w:pPr>
        <w:pStyle w:val="BodyText"/>
      </w:pPr>
      <w:r>
        <w:rPr>
          <w:b/>
        </w:rPr>
        <w:t xml:space="preserve">This file is byte-identical to</w:t>
      </w:r>
      <w:r>
        <w:t xml:space="preserve"> </w:t>
      </w:r>
      <w:r>
        <w:rPr>
          <w:rStyle w:val="VerbatimChar"/>
        </w:rPr>
        <w:t xml:space="preserve">permut_cell_death_R'.R</w:t>
      </w:r>
      <w:r>
        <w:t xml:space="preserve"> </w:t>
      </w:r>
      <w:r>
        <w:rPr>
          <w:b/>
        </w:rPr>
        <w:t xml:space="preserve">— see that copy’s analysis for full context.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(no description recovered)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(unknown)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(unknown)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(unknown)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2026-07-10T02:18:11Z</dcterms:created>
  <dcterms:modified xsi:type="dcterms:W3CDTF">2026-07-10T02:18:11Z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