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g_summary.r"/>
      <w:r>
        <w:t xml:space="preserve">DEG_summary.R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DEG_summary.R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Compares limma pseudobulk DE results between</w:t>
      </w:r>
      <w:r>
        <w:t xml:space="preserve"> </w:t>
      </w:r>
      <w:r>
        <w:t xml:space="preserve">“</w:t>
      </w:r>
      <w:r>
        <w:t xml:space="preserve">all samples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excluding HB3/HB4</w:t>
      </w:r>
      <w:r>
        <w:t xml:space="preserve">”</w:t>
      </w:r>
      <w:r>
        <w:t xml:space="preserve"> </w:t>
      </w:r>
      <w:r>
        <w:t xml:space="preserve">analysis runs for LT-HSCs and Classical Monocytes, across 4 comparisons. For each comparison it produces a DEG-count bar chart (FDR&lt;0.2), a logFC concordance scatter, and an FDR concordance scatter (labeling top-discordant genes), then assembles these into combined multi-panel PDFs per dataset.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limma log-CPM result CSVs (</w:t>
      </w:r>
      <w:r>
        <w:rPr>
          <w:i/>
          <w:i/>
        </w:rPr>
        <w:t xml:space="preserve">limma</w:t>
      </w:r>
      <w:r>
        <w:t xml:space="preserve">results.csv) under allSamples_analysis/ and excluding_H3_H4/ subfolders for both LT-HSCs and Classical Monocytes.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DEG_comparison_counts.pdf/.png, DEG_comparison_logFC.pdf/.png, DEG_comparison_FDR.pdf/.png, written to each dataset’s summary_plots/ folder.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Assess how sensitive the DE results are to excluding two specific samples (HB3, HB4) that may be outliers or batch-affected.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a sample-exclusion sensitivity check.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2026-07-10T02:17:53Z</dcterms:created>
  <dcterms:modified xsi:type="dcterms:W3CDTF">2026-07-10T02:17:53Z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