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ncordance_analysis.r"/>
      <w:r>
        <w:t xml:space="preserve">concordance_analysis.R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concordance_analysis.R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Compares DEG and GSEA results between</w:t>
      </w:r>
      <w:r>
        <w:t xml:space="preserve"> </w:t>
      </w:r>
      <w:r>
        <w:t xml:space="preserve">“</w:t>
      </w:r>
      <w:r>
        <w:t xml:space="preserve">all samples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excluding HB3/HB4</w:t>
      </w:r>
      <w:r>
        <w:t xml:space="preserve">”</w:t>
      </w:r>
      <w:r>
        <w:t xml:space="preserve"> </w:t>
      </w:r>
      <w:r>
        <w:t xml:space="preserve">analysis variants for four Lenti/HB-LB comparisons, for both LT-HSCs and Classical Monocytes. Produces gene-level logFC scatter plots (colored by significance overlap) and pathway-level GSEA NES scatter plots, annotating correlations and labeling top discordant genes/pathways.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rPr>
          <w:i/>
        </w:rPr>
        <w:t xml:space="preserve">limma</w:t>
      </w:r>
      <w:r>
        <w:t xml:space="preserve">*results.csv DEG tables and</w:t>
      </w:r>
      <w:r>
        <w:t xml:space="preserve"> </w:t>
      </w:r>
      <w:r>
        <w:rPr>
          <w:i/>
        </w:rPr>
        <w:t xml:space="preserve">GSEA</w:t>
      </w:r>
      <w:r>
        <w:t xml:space="preserve">.csv pathway tables from allSamples_analysis/ and excluding_H3_H4/ subfolders.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Combined multi-panel concordance_logFC.pdf/png and concordance_NES_</w:t>
      </w:r>
      <w:r>
        <w:t xml:space="preserve">.pdf/png per dataset.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Assess how robust the DEG/pathway findings are to inclusion/exclusion of two possibly outlier/confounding animals.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analysis, shares comparison/database definitions with count_pathways_genes* and gene_and_pathway_analysis_beta* scripts.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2026-07-10T02:17:53Z</dcterms:created>
  <dcterms:modified xsi:type="dcterms:W3CDTF">2026-07-10T02:17:53Z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