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ount_pathways_genes_beta.r"/>
      <w:r>
        <w:t xml:space="preserve">count_pathways_genes_beta.R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count_pathways_genes_beta.R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Updated version of count_pathways_genes.R: computes DEG counts comparing all-samples vs excl-HB3/HB4, and pathway counts (FDR&lt;0.05) for BOTH analysis variants, stacked by database and faceted by up/down direction.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rPr>
          <w:i/>
        </w:rPr>
        <w:t xml:space="preserve">limma</w:t>
      </w:r>
      <w:r>
        <w:t xml:space="preserve">*results.csv and</w:t>
      </w:r>
      <w:r>
        <w:t xml:space="preserve"> </w:t>
      </w:r>
      <w:r>
        <w:rPr>
          <w:i/>
        </w:rPr>
        <w:t xml:space="preserve">GSEA</w:t>
      </w:r>
      <w:r>
        <w:t xml:space="preserve">.csv from allSamples_analysis/ and excluding_H3_H4/ subfolders.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DEG_counts_FDR0.1.pdf/png and per-variant pathway_counts_stacked/_by_database.pdf/png.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Same as count_pathways_genes.R but more complete — summarize DEG/pathway burden across both inclusion strategies.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Refined near-duplicate of count_pathways_genes.R.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2026-07-10T02:17:53Z</dcterms:created>
  <dcterms:modified xsi:type="dcterms:W3CDTF">2026-07-10T02:17:53Z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