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ene_and_pathway_analysis_beta_lthsc.r"/>
      <w:r>
        <w:t xml:space="preserve">gene_and_pathway_analysis_beta_LTHSC.R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gene_and_pathway_analysis_beta_LTHSC.R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Runs limma-voom DE (5 pairwise HB/LB x LentiPos/LentiNeg comparisons) on LT-HSC count data excluding HB3/HB4, then GSEA (GO BP/MF/CC, KEGG, Hallmark) per comparison, filtering out non-hematopoietic tissue terms, producing volcano plots and combined GSEA dot plots.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DEG_* raw count/DEG tables per comparison subfolder under LT-HSCs (1)/.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Per comparison: _limma_voom_results.csv, _volcano.pdf/png,</w:t>
      </w:r>
      <w:r>
        <w:t xml:space="preserve"> </w:t>
      </w:r>
      <w:r>
        <w:rPr>
          <w:i/>
        </w:rPr>
        <w:t xml:space="preserve">GSEA</w:t>
      </w:r>
      <w:r>
        <w:t xml:space="preserve">.csv/plots, in a results/ subfolder.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Identify genes/pathways differentially expressed between LentiPos/LentiNeg and HB/LB in LT-HSCs, excluding suspected outlier animals.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gene_and_pathway_analysis_beta_LT_HSCs_exludingH3H4.R (same exclusion, different DE method: voom/edgeR here vs limma-on-CPM there); parallels gene_and_pathway_analysis_beta_cMono.R (same code, cMono instead).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2026-07-10T02:17:54Z</dcterms:created>
  <dcterms:modified xsi:type="dcterms:W3CDTF">2026-07-10T02:17:54Z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