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6f322ab2f9918828fe00d30550a92126ed51da"/>
      <w:r>
        <w:t xml:space="preserve">gene_and_pathway_analysis_beta_LT_HSCs_all_samples.R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gene_and_pathway_analysis_beta_LT_HSCs_all_samples.R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5-comparison LT-HSC pipeline but uses limma directly on log2-CPM input (mean-log2CPM&gt;0.5 filter) rather than voom/DGEList, with ALL samples included; runs the same 5-database GSEA and volcano/dot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DEG_* CPM-style tables per comparison subfolder under LT-HSCs (1)/.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_limma_voom_results.csv (despite the CPM method), _volcano,</w:t>
      </w:r>
      <w:r>
        <w:t xml:space="preserve"> </w:t>
      </w:r>
      <w:r>
        <w:rPr>
          <w:i/>
        </w:rPr>
        <w:t xml:space="preserve">GSEA</w:t>
      </w:r>
      <w:r>
        <w:t xml:space="preserve">.csv/plots, under LT-HSCs (1)/allSamples_analysis/</w:t>
      </w:r>
      <w:r>
        <w:t xml:space="preserve">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HB/LB x LentiPos/Neg DEG/pathway question for LT-HSCs, all-samples arm, using a CPM-input limma model instead of voom.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gene_and_pathway_analysis_beta_LTHSC_all_samples.R (differs in DE method); parallel to _exludingH3H4 version (same method, HB3/HB4 excluded).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2026-07-10T02:17:54Z</dcterms:created>
  <dcterms:modified xsi:type="dcterms:W3CDTF">2026-07-10T02:17:54Z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