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637bfe6fb4bad7746c7497da312d206328e3a8"/>
      <w:r>
        <w:t xml:space="preserve">gene_and_pathway_analysis_beta_LT_HSCs_exludingH3H4.R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gene_and_pathway_analysis_beta_LT_HSCs_exludingH3H4.R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limma-on-log-CPM DGE + GSEA pipeline as the "_all_samples" CPM variant, but explicitly excludes HB3/HB4, writing to an excluding_H3_H4 results directory.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CPM-style tables per comparison subfolder under LT-HSCs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_limma_voom_results.csv, _volcano,</w:t>
      </w:r>
      <w:r>
        <w:t xml:space="preserve"> </w:t>
      </w:r>
      <w:r>
        <w:rPr>
          <w:i/>
        </w:rPr>
        <w:t xml:space="preserve">GSEA</w:t>
      </w:r>
      <w:r>
        <w:t xml:space="preserve">.csv/plots, under LT-HSCs (1)/excluding_H3_H4/</w:t>
      </w:r>
      <w:r>
        <w:t xml:space="preserve">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HB/LB x LentiPos/Neg DEG/pathway analysis in LT-HSCs using the CPM-input limma method, restricted to the outlier-excluded robustness arm.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gene_and_pathway_analysis_beta_LT_HSCs_all_samples.R — differs only in the HB3/HB4 exclusion filter and output directory.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2026-07-10T02:17:55Z</dcterms:created>
  <dcterms:modified xsi:type="dcterms:W3CDTF">2026-07-10T02:17:55Z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