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thsc_seurat_harmony_lenti.r"/>
      <w:r>
        <w:t xml:space="preserve">LTHSC_Seurat_Harmony_Lenti.R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LTHSC_Seurat_Harmony_Lenti.R</w:t>
      </w:r>
    </w:p>
    <w:p>
      <w:pPr>
        <w:pStyle w:val="BodyText"/>
      </w:pPr>
      <w:r>
        <w:rPr>
          <w:b/>
        </w:rPr>
        <w:t xml:space="preserve">This file is byte-identical to</w:t>
      </w:r>
      <w:r>
        <w:t xml:space="preserve"> </w:t>
      </w:r>
      <w:r>
        <w:rPr>
          <w:rStyle w:val="VerbatimChar"/>
        </w:rPr>
        <w:t xml:space="preserve">LTHSC_Seurat_Harmony_Lenti.R</w:t>
      </w:r>
      <w:r>
        <w:t xml:space="preserve"> </w:t>
      </w:r>
      <w:r>
        <w:rPr>
          <w:b/>
        </w:rPr>
        <w:t xml:space="preserve">— see that copy’s analysis for full context.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(no description recovered)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(unknown)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(unknown)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2026-07-10T02:18:04Z</dcterms:created>
  <dcterms:modified xsi:type="dcterms:W3CDTF">2026-07-10T02:18:04Z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