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thsc_pathway_pca_hallmark.r"/>
      <w:r>
        <w:t xml:space="preserve">LTHSC_pathway_PCA_Hallmark.R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LTHSC_pathway_PCA_Hallmark.R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Three-part script. Part 1 loads the classical-monocyte gene x cell count matrix (despite the folder name), classifies Lenti+/Lenti- per cell, filters genes detected in &gt;=5% of cells per sample, pseudobulk-aggregates per sample x Lenti-status, TMM-normalizes to logCPM, computes GSVA pathway scores against MSigDB Hallmark, runs PCA on pathway scores, and plots samples plus top PC1/PC2 pathway loadings. Part 2 runs a permutation test (10,000 shuffles) on HB-vs-LB centroid distance in PCA space. Part 3 runs a paired PERMANOVA (vegan::adonis2) on PC1-4.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 (Part 1); pca_coords.csv from a prior PCA run (Parts 2-3).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PCA_samples.png, Loadings_PC1/2.png, gsva_scores.rds, pca_res.rds, gsva_scores_samplesXpathways.csv, pca_coords.csv (Part 1); PCA_separation.png, Permutation_distribution.png, stats_results.txt (Part 2); permanova_paired_results.txt (Part 3).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pathway-level (Hallmark GSVA) transcriptional states separate HB from LB clone-burden groups in a statistically rigorous way (permutation test, PERMANOVA), beyond visual PCA clustering.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combining GSVA/PCA with formal permutation/PERMANOVA testing; internal inconsistency — despite referencing LT-HSC in its name, Part 1 actually reads the classical_monocytes count matrix.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2026-07-10T02:18:04Z</dcterms:created>
  <dcterms:modified xsi:type="dcterms:W3CDTF">2026-07-10T02:18:04Z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