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ed634639222aab3f5a18c51e4680c885a5dfab"/>
      <w:r>
        <w:t xml:space="preserve">Project overview — Seurat/Harmony Clustering &amp; UMAP Density Maps</w:t>
      </w:r>
      <w:bookmarkEnd w:id="20"/>
    </w:p>
    <w:p>
      <w:pPr>
        <w:pStyle w:val="FirstParagraph"/>
      </w:pPr>
      <w:r>
        <w:t xml:space="preserve">Builds batch-corrected (Harmony) Seurat clustering/UMAP embeddings for LT-HSCs and classical</w:t>
      </w:r>
      <w:r>
        <w:t xml:space="preserve"> </w:t>
      </w:r>
      <w:r>
        <w:t xml:space="preserve">monocytes, then visualizes whether HB vs LB (and, in the "_Lenti" variants, Lenti+ vs Lenti-)</w:t>
      </w:r>
      <w:r>
        <w:t xml:space="preserve"> </w:t>
      </w:r>
      <w:r>
        <w:t xml:space="preserve">cells occupy different transcriptional neighborhoods via 2D kernel-density difference maps.</w:t>
      </w:r>
      <w:r>
        <w:t xml:space="preserve"> </w:t>
      </w:r>
      <w:r>
        <w:rPr>
          <w:rStyle w:val="VerbatimChar"/>
        </w:rPr>
        <w:t xml:space="preserve">cluser_composition_analysis.R</w:t>
      </w:r>
      <w:r>
        <w:t xml:space="preserve"> </w:t>
      </w:r>
      <w:r>
        <w:t xml:space="preserve">builds on the resulting Seurat objects to find cluster marker</w:t>
      </w:r>
      <w:r>
        <w:t xml:space="preserve"> </w:t>
      </w:r>
      <w:r>
        <w:t xml:space="preserve">genes and quantify per-cluster cell-frequency differences across the four HB/LB x Lenti+/-</w:t>
      </w:r>
      <w:r>
        <w:t xml:space="preserve"> </w:t>
      </w:r>
      <w:r>
        <w:t xml:space="preserve">groups.</w:t>
      </w:r>
      <w:r>
        <w:t xml:space="preserve"> </w:t>
      </w:r>
      <w:r>
        <w:rPr>
          <w:rStyle w:val="VerbatimChar"/>
        </w:rPr>
        <w:t xml:space="preserve">LTHSC_pathway_PCA_Hallmark.R</w:t>
      </w:r>
      <w:r>
        <w:t xml:space="preserve"> </w:t>
      </w:r>
      <w:r>
        <w:t xml:space="preserve">adds a GSVA-pathway-level PCA with permutation/PERMANOVA</w:t>
      </w:r>
      <w:r>
        <w:t xml:space="preserve"> </w:t>
      </w:r>
      <w:r>
        <w:t xml:space="preserve">significance testing of group separation.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