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luser_composition_analysis.r"/>
      <w:r>
        <w:t xml:space="preserve">cluser_composition_analysis.R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cluser_composition_analysis.R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Loads LT-HSC and classical monocyte Seurat objects, runs FindAllMarkers per cluster and saves top-50-marker tables plus top-10-marker DoHeatmap plots; a second section defines named cluster labels (e.g. </w:t>
      </w:r>
      <w:r>
        <w:t xml:space="preserve">“</w:t>
      </w:r>
      <w:r>
        <w:t xml:space="preserve">Quiescent LT-HSC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Cycling HSC</w:t>
      </w:r>
      <w:r>
        <w:t xml:space="preserve">”</w:t>
      </w:r>
      <w:r>
        <w:t xml:space="preserve">) and computes per-sample, per-cluster, per-(exposure x Lenti-status) group cell-frequency statistics with bar/dot/stacked-bar visualizations.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LT_HSC_seurat_final.rds, classical_mono_seurat_final.rds.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hsc/mono_cluster</w:t>
      </w:r>
      <w:r>
        <w:t xml:space="preserve">_top50_markers.txt, cluster_markers_heatmap.pdf, combined_cluster_markers_heatmap.pdf, cluster_freq_barplot/dotplot/stacked.pdf, cluster_freq_per_sample.csv/_summary.csv.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Identify marker genes defining each subcluster and quantify how the four groups (HB/LB x Lenti+/-) differ in distribution across annotated subclusters.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Distinct analysis — the marker-identification/cluster-composition-by-group step built on the Seurat objects from the cMono/LT-HSC Harmony scripts.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2026-07-10T02:18:03Z</dcterms:created>
  <dcterms:modified xsi:type="dcterms:W3CDTF">2026-07-10T02:18:03Z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