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2b_analysis.r"/>
      <w:r>
        <w:t xml:space="preserve">H2B_analysis.R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H2B_analysis.R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Builds</w:t>
      </w:r>
      <w:r>
        <w:t xml:space="preserve"> </w:t>
      </w:r>
      <w:r>
        <w:t xml:space="preserve">“</w:t>
      </w:r>
      <w:r>
        <w:t xml:space="preserve">label-retaining</w:t>
      </w:r>
      <w:r>
        <w:t xml:space="preserve">”</w:t>
      </w:r>
      <w:r>
        <w:t xml:space="preserve"> </w:t>
      </w:r>
      <w:r>
        <w:t xml:space="preserve">(LR_up) and</w:t>
      </w:r>
      <w:r>
        <w:t xml:space="preserve"> </w:t>
      </w:r>
      <w:r>
        <w:t xml:space="preserve">“</w:t>
      </w:r>
      <w:r>
        <w:t xml:space="preserve">label-losing</w:t>
      </w:r>
      <w:r>
        <w:t xml:space="preserve">”</w:t>
      </w:r>
      <w:r>
        <w:t xml:space="preserve"> </w:t>
      </w:r>
      <w:r>
        <w:t xml:space="preserve">(LR_down) gene sets from the top/bottom 200 genes (by negated log2FoldChange) of an H2B-GFP-Low-vs-High HSC DEG reference, then runs clusterProfiler::GSEA of these two sets against 5 LT-HSC lentiviral/burden DEG comparisons. Produces per-comparison enrichment plots, a summary NES/FDR dotplot, leading-edge overlap heatmaps and Venn diagrams, ranked-list correlation scatterplots, plus a full H2B-ranked-list pathway analysis (GO:BP/KEGG/Hallmarks).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DEgene2_analysis_Res_H2BGFP_Low_VS_High.csv and 5 LT-HSC pseudobulk DEG text files under LT-HSCs (1)/</w:t>
      </w:r>
      <w:r>
        <w:t xml:space="preserve">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GSEA_H2B_on_</w:t>
      </w:r>
      <w:r>
        <w:t xml:space="preserve">.png (5 files), Summary_dotplot.png, LeadingEdge_heatmap/Venn PNGs, RankedList_scatter.png, plus GO:BP/KEGG/Hallmark bar/dot/csv under H2B_pathways/.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the H2B label-retaining (quiescent) vs label-losing (dividing) HSC transcriptional signature is recapitulated in the lentiviral-marking and clonal-burden LT-HSC comparisons.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H2B_fdrcutoff</w:t>
      </w:r>
      <w:r>
        <w:t xml:space="preserve">_analysis.R — same pipeline/outputs; differs only in how LR_up/LR_down gene sets are defined (fixed top/bottom 200 here vs padj&lt;0.05 in the other file).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2026-07-10T02:18:08Z</dcterms:created>
  <dcterms:modified xsi:type="dcterms:W3CDTF">2026-07-10T02:18:08Z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