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2b_analysis.r"/>
      <w:r>
        <w:t xml:space="preserve">H2B_analysis.R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H2B_analysis.R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Same pipeline as H2B_GSEA</w:t>
      </w:r>
      <w:r>
        <w:t xml:space="preserve">_analysis.R, but defines LR_up/LR_down using all genes with padj &lt; 0.05 (split by direction) instead of a fixed top/bottom-200 cutoff, and annotates plots with the resulting gene-set sizes; also copies itself into OUTDIR for provenance.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DEgene2_analysis_Res_H2BGFP_Low_VS_High.csv and the same 5 LT-HSC pseudobulk DEG files under LT-HSCs (1)/</w:t>
      </w:r>
      <w:r>
        <w:t xml:space="preserve">/.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Same output file set as H2B_GSEA</w:t>
      </w:r>
      <w:r>
        <w:t xml:space="preserve">_analysis.R, written to H2B_fdrcutoff/ instead.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Same as H2B_GSEA</w:t>
      </w:r>
      <w:r>
        <w:t xml:space="preserve">_analysis.R, but using a statistically-driven (FDR-based) rather than fixed-size gene-set definition, as a robustness check.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 of H2B_GSEA</w:t>
      </w:r>
      <w:r>
        <w:t xml:space="preserve">_analysis.R — a matched pair testing sensitivity of the H2B GSEA results to gene-set-definition method.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2026-07-10T02:18:08Z</dcterms:created>
  <dcterms:modified xsi:type="dcterms:W3CDTF">2026-07-10T02:18:08Z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