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1fc89644a7609b9dac2ea5faafe6cd298af11f"/>
      <w:r>
        <w:t xml:space="preserve">Project overview — H2B Label-Retention, Physiological Aging &amp; CytoTRACE2</w:t>
      </w:r>
      <w:bookmarkEnd w:id="20"/>
    </w:p>
    <w:p>
      <w:pPr>
        <w:pStyle w:val="FirstParagraph"/>
      </w:pPr>
      <w:r>
        <w:t xml:space="preserve">Tests whether the lab’s HB/LB and LentiPos/Neg LT-HSC/monocyte signatures relate to two external</w:t>
      </w:r>
      <w:r>
        <w:t xml:space="preserve"> </w:t>
      </w:r>
      <w:r>
        <w:t xml:space="preserve">reference axes: (1) an H2B-GFP label-retention (quiescent vs dividing HSC) signature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H2B_GSEA/H2B_analysis.R</w:t>
      </w:r>
      <w:r>
        <w:t xml:space="preserve">,</w:t>
      </w:r>
      <w:r>
        <w:t xml:space="preserve"> </w:t>
      </w:r>
      <w:r>
        <w:rPr>
          <w:rStyle w:val="VerbatimChar"/>
        </w:rPr>
        <w:t xml:space="preserve">H2B_fdrcutoff/H2B_analysis.R</w:t>
      </w:r>
      <w:r>
        <w:t xml:space="preserve"> </w:t>
      </w:r>
      <w:r>
        <w:t xml:space="preserve">— a fixed-N vs FDR-based gene-set-</w:t>
      </w:r>
      <w:r>
        <w:t xml:space="preserve"> </w:t>
      </w:r>
      <w:r>
        <w:t xml:space="preserve">definition sensitivity pair), and (2) physiological monocyte aging from the public GSE207063</w:t>
      </w:r>
      <w:r>
        <w:t xml:space="preserve"> </w:t>
      </w:r>
      <w:r>
        <w:t xml:space="preserve">dataset (</w:t>
      </w:r>
      <w:r>
        <w:rPr>
          <w:rStyle w:val="VerbatimChar"/>
        </w:rPr>
        <w:t xml:space="preserve">AgingCell_analysis.R</w:t>
      </w:r>
      <w:r>
        <w:t xml:space="preserve">, and its much larger, repeatedly-iterated sibling</w:t>
      </w:r>
      <w:r>
        <w:t xml:space="preserve"> </w:t>
      </w:r>
      <w:r>
        <w:rPr>
          <w:rStyle w:val="VerbatimChar"/>
        </w:rPr>
        <w:t xml:space="preserve">H2B_fdrcutoff/H2B_pathways_wFDR.R</w:t>
      </w:r>
      <w:r>
        <w:t xml:space="preserve">, which also folds in a final TET2-signature comparison).</w:t>
      </w:r>
      <w:r>
        <w:t xml:space="preserve"> </w:t>
      </w:r>
      <w:r>
        <w:rPr>
          <w:rStyle w:val="VerbatimChar"/>
        </w:rPr>
        <w:t xml:space="preserve">cytotrace2_LT-HSCs.R</w:t>
      </w:r>
      <w:r>
        <w:t xml:space="preserve"> </w:t>
      </w:r>
      <w:r>
        <w:t xml:space="preserve">uses the third-party CytoTRACE2 package plus Slingshot pseudotime to test</w:t>
      </w:r>
      <w:r>
        <w:t xml:space="preserve"> </w:t>
      </w:r>
      <w:r>
        <w:t xml:space="preserve">whether burden/marking status shifts LT-HSCs toward a more differentiated state.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2026-07-10T02:18:07Z</dcterms:created>
  <dcterms:modified xsi:type="dcterms:W3CDTF">2026-07-10T02:18:07Z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