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ytotrace2_lt-hscs.r"/>
      <w:r>
        <w:t xml:space="preserve">cytotrace2_LT-HSCs.R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cytotrace2_LT-HSCs.R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Runs CytoTRACE2 on a Seurat object of LT-HSCs to score differentiation state, plots UMAPs/violins by HB/LB and LentiPos/Neg group; re-runs pooled Slingshot pseudotime and builds a combined CytoTRACE2+Slingshot figure; computes multiple effect-size framings (raw diff, %range, Cohen’s d) for HB vs LB and LentiPos vs LentiNeg; builds publication-ready multi-panel figures.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LT_HSC_sub5000_seurat.rds from Sub5000_output/.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CytoTRACE_UMAP_score/relative.png, CytoTRACE_violin_group/sample.png, CytoTRACE_vs_pseudotime.png, CytoTRACE_stats.txt, updated seurat.rds, Combined_figure.png, CytoTRACE_effect_size_summary.csv, Fig1/Fig2 figures.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high clonal burden and/or Lenti-marking status shifts LT-HSCs toward a more differentiated transcriptional state.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using the third-party CytoTRACE2 R package.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2026-07-10T02:18:07Z</dcterms:created>
  <dcterms:modified xsi:type="dcterms:W3CDTF">2026-07-10T02:18:07Z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