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052ecb4681762851cd2507cb2e3b1303aced19e"/>
      <w:r>
        <w:t xml:space="preserve">Project overview — Barcode Lineage-Tracing &amp; Progenitor-to-Tissue Distance</w:t>
      </w:r>
      <w:bookmarkEnd w:id="20"/>
    </w:p>
    <w:p>
      <w:pPr>
        <w:pStyle w:val="FirstParagraph"/>
      </w:pPr>
      <w:r>
        <w:t xml:space="preserve">A distinct sub-project (different lentiviral barcode dataset, DARLIN-style lineage tracing, not</w:t>
      </w:r>
      <w:r>
        <w:t xml:space="preserve"> </w:t>
      </w:r>
      <w:r>
        <w:t xml:space="preserve">the HB/LB burden study) asking which bone-marrow progenitor population (LSK, MPP4, CLP, GMP,</w:t>
      </w:r>
      <w:r>
        <w:t xml:space="preserve"> </w:t>
      </w:r>
      <w:r>
        <w:t xml:space="preserve">across several bones) is the closest clonal source for various downstream tissue destinations</w:t>
      </w:r>
      <w:r>
        <w:t xml:space="preserve"> </w:t>
      </w:r>
      <w:r>
        <w:t xml:space="preserve">(thymus, blood T cells, blood/heart granulocytes). Utility scripts (</w:t>
      </w:r>
      <w:r>
        <w:rPr>
          <w:rStyle w:val="VerbatimChar"/>
        </w:rPr>
        <w:t xml:space="preserve">files/combine_barcodes.R</w:t>
      </w:r>
      <w:r>
        <w:t xml:space="preserve">,</w:t>
      </w:r>
      <w:r>
        <w:t xml:space="preserve"> </w:t>
      </w:r>
      <w:r>
        <w:rPr>
          <w:rStyle w:val="VerbatimChar"/>
        </w:rPr>
        <w:t xml:space="preserve">combine_and_analyze_CT.R</w:t>
      </w:r>
      <w:r>
        <w:t xml:space="preserve">,</w:t>
      </w:r>
      <w:r>
        <w:t xml:space="preserve"> </w:t>
      </w:r>
      <w:r>
        <w:rPr>
          <w:rStyle w:val="VerbatimChar"/>
        </w:rPr>
        <w:t xml:space="preserve">barcode_visualizations.R</w:t>
      </w:r>
      <w:r>
        <w:t xml:space="preserve">) build and visualize the barcode-sharing</w:t>
      </w:r>
      <w:r>
        <w:t xml:space="preserve"> </w:t>
      </w:r>
      <w:r>
        <w:t xml:space="preserve">tables;</w:t>
      </w:r>
      <w:r>
        <w:t xml:space="preserve"> </w:t>
      </w:r>
      <w:r>
        <w:rPr>
          <w:rStyle w:val="VerbatimChar"/>
        </w:rPr>
        <w:t xml:space="preserve">distance_analyses_all_metrics.R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pooled_perm_tests.R</w:t>
      </w:r>
      <w:r>
        <w:t xml:space="preserve"> </w:t>
      </w:r>
      <w:r>
        <w:t xml:space="preserve">generalize the</w:t>
      </w:r>
      <w:r>
        <w:t xml:space="preserve"> </w:t>
      </w:r>
      <w:r>
        <w:t xml:space="preserve">distance/permutation-test logic to multiple metrics and datasets;</w:t>
      </w:r>
      <w:r>
        <w:t xml:space="preserve"> </w:t>
      </w:r>
      <w:r>
        <w:rPr>
          <w:rStyle w:val="VerbatimChar"/>
        </w:rPr>
        <w:t xml:space="preserve">combined_regions_analysis*.R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separate_regions_analysis.R</w:t>
      </w:r>
      <w:r>
        <w:t xml:space="preserve"> </w:t>
      </w:r>
      <w:r>
        <w:t xml:space="preserve">are earlier, less-generalized versions of the same pipeline;</w:t>
      </w:r>
      <w:r>
        <w:t xml:space="preserve"> </w:t>
      </w:r>
      <w:r>
        <w:rPr>
          <w:rStyle w:val="VerbatimChar"/>
        </w:rPr>
        <w:t xml:space="preserve">pooled_bootstrap_CLP_vs_GMP_destfixed.R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pooled_perm_CLP_vs_GMP_multi_distance.R</w:t>
      </w:r>
      <w:r>
        <w:t xml:space="preserve"> </w:t>
      </w:r>
      <w:r>
        <w:t xml:space="preserve">focus</w:t>
      </w:r>
      <w:r>
        <w:t xml:space="preserve"> </w:t>
      </w:r>
      <w:r>
        <w:t xml:space="preserve">specifically on the CLP-vs-GMP-to-T-lineage question with two complementary inference methods.</w:t>
      </w:r>
      <w:r>
        <w:t xml:space="preserve"> </w:t>
      </w:r>
      <w:r>
        <w:rPr>
          <w:rStyle w:val="VerbatimChar"/>
        </w:rPr>
        <w:t xml:space="preserve">lenti_overlaps_with_mouse_genome.R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neutral_region_pipeline.R</w:t>
      </w:r>
      <w:r>
        <w:t xml:space="preserve"> </w:t>
      </w:r>
      <w:r>
        <w:t xml:space="preserve">are related genome-annotation</w:t>
      </w:r>
      <w:r>
        <w:t xml:space="preserve"> </w:t>
      </w:r>
      <w:r>
        <w:t xml:space="preserve">utilities (vector-genome homology check; neutral safe-harbor region selection for a separate</w:t>
      </w:r>
      <w:r>
        <w:t xml:space="preserve"> </w:t>
      </w:r>
      <w:r>
        <w:t xml:space="preserve">liver mutagenesis assay) grouped here as adjacent barcode/vector-design tooling.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2026-07-10T02:18:09Z</dcterms:created>
  <dcterms:modified xsi:type="dcterms:W3CDTF">2026-07-10T02:18:09Z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