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mbined_regions_analysis.r"/>
      <w:r>
        <w:t xml:space="preserve">combined_regions_analysis.R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combined_regions_analysis.R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Combines separately-sequenced</w:t>
      </w:r>
      <w:r>
        <w:t xml:space="preserve"> </w:t>
      </w:r>
      <w:r>
        <w:t xml:space="preserve">“</w:t>
      </w:r>
      <w:r>
        <w:t xml:space="preserve">C-region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T-region</w:t>
      </w:r>
      <w:r>
        <w:t xml:space="preserve">”</w:t>
      </w:r>
      <w:r>
        <w:t xml:space="preserve"> </w:t>
      </w:r>
      <w:r>
        <w:t xml:space="preserve">lentiviral clonal barcode tables into one unified wide table, then for each of four destination tissues computes per-mouse Euclidean and Bray-Curtis distances from progenitor-population/bone-marrow-site source samples to that destination, runs Friedman tests across sources, and plots ranked/faceted distance-to-destination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C_regions_results/combined_barcodes_C_regions.tsv and T_region_result/combined_barcodes_T_region.tsv.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combined_barcodes_wide_CT.tsv; CT_</w:t>
      </w:r>
      <w:r>
        <w:rPr>
          <w:i/>
        </w:rPr>
        <w:t xml:space="preserve">distances_per_mouse.csv, CT</w:t>
      </w:r>
      <w:r>
        <w:t xml:space="preserve">_distance_friedman.csv, ranked/faceted plots per destination x metric.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Determine which hematopoietic progenitor population and bone-marrow site is clonally closest to specific downstream tissue destinations, using lentiviral barcode data.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a clonal barcode-tracking/lineage-distance study, unrelated in method to the Lenti-ratio UMI-based classification scripts.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2026-07-10T02:18:08Z</dcterms:created>
  <dcterms:modified xsi:type="dcterms:W3CDTF">2026-07-10T02:18:08Z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