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94bc2ffd67fc20af41622b03490a82fef1f7e1"/>
      <w:r>
        <w:t xml:space="preserve">combined_regions_analysis_permutation_tests.R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combined_regions_analysis_permutation_tests.R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Self-contained pipeline that first combines separately-sequenced C-region and T-region barcode wide tables into one CT table, then pools UMIs across mice per sample_type and runs a UMI-level Binomial permutation test (5000 perms) comparing each hematopoietic source’s Euclidean/Bray-Curtis distance to two destination cell populations (default Blood_T_cells vs Blood_Granulocytes).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combined_barcodes_C_regions.tsv and combined_barcodes_T_region.tsv from C_regions_results/ and T_region_result/.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combined_barcodes_wide_CT.tsv; per-source permutation result CSVs (Euclidean and Bray-Curtis); tornado bar plots showing significantly biased sources, BH-adjusted.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Determine whether specific hematopoietic progenitor populations in specific bones show statistically significant clonal bias toward one blood destination over another.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Near-duplicate of files</w:t>
      </w:r>
      <w:r>
        <w:t xml:space="preserve">_perm_tests.R — an earlier/simpler version (2 distance metrics, single hardcoded contrast, inline CT-combine step) versus the generalized version (4 metrics, multiple contrasts, assumes CT file exists).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2026-07-10T02:18:08Z</dcterms:created>
  <dcterms:modified xsi:type="dcterms:W3CDTF">2026-07-10T02:18:08Z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